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Pr="00D03131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507E97" w:rsidRPr="00D03131">
        <w:rPr>
          <w:rFonts w:eastAsia="Calibri"/>
          <w:sz w:val="22"/>
          <w:szCs w:val="22"/>
        </w:rPr>
        <w:t>Приложение</w:t>
      </w:r>
    </w:p>
    <w:p w:rsidR="00962759" w:rsidRPr="00D03131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507E97" w:rsidRPr="00D03131">
        <w:rPr>
          <w:rFonts w:eastAsia="Calibri"/>
          <w:sz w:val="22"/>
          <w:szCs w:val="22"/>
        </w:rPr>
        <w:t xml:space="preserve">к постановлению главы </w:t>
      </w:r>
    </w:p>
    <w:p w:rsidR="00354E37" w:rsidRPr="00D03131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354E37" w:rsidRPr="00D03131">
        <w:rPr>
          <w:rFonts w:eastAsia="Calibri"/>
          <w:sz w:val="22"/>
          <w:szCs w:val="22"/>
        </w:rPr>
        <w:t>городского округа Зарайск</w:t>
      </w:r>
    </w:p>
    <w:p w:rsidR="00C25E94" w:rsidRPr="00D03131" w:rsidRDefault="00962759" w:rsidP="00D03131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D56BEB" w:rsidRPr="00D03131">
        <w:rPr>
          <w:rFonts w:eastAsia="Calibri"/>
          <w:sz w:val="22"/>
          <w:szCs w:val="22"/>
        </w:rPr>
        <w:t>от 06</w:t>
      </w:r>
      <w:r w:rsidR="00E80EFD" w:rsidRPr="00D03131">
        <w:rPr>
          <w:rFonts w:eastAsia="Calibri"/>
          <w:sz w:val="22"/>
          <w:szCs w:val="22"/>
        </w:rPr>
        <w:t>.0</w:t>
      </w:r>
      <w:r w:rsidR="00132231" w:rsidRPr="00D03131">
        <w:rPr>
          <w:rFonts w:eastAsia="Calibri"/>
          <w:sz w:val="22"/>
          <w:szCs w:val="22"/>
        </w:rPr>
        <w:t>7</w:t>
      </w:r>
      <w:r w:rsidRPr="00D03131">
        <w:rPr>
          <w:rFonts w:eastAsia="Calibri"/>
          <w:sz w:val="22"/>
          <w:szCs w:val="22"/>
        </w:rPr>
        <w:t xml:space="preserve">.2021 № </w:t>
      </w:r>
      <w:r w:rsidR="00132231" w:rsidRPr="00D03131">
        <w:rPr>
          <w:rFonts w:eastAsia="Calibri"/>
          <w:sz w:val="22"/>
          <w:szCs w:val="22"/>
        </w:rPr>
        <w:t>10</w:t>
      </w:r>
      <w:r w:rsidR="00D56BEB" w:rsidRPr="00D03131">
        <w:rPr>
          <w:rFonts w:eastAsia="Calibri"/>
          <w:sz w:val="22"/>
          <w:szCs w:val="22"/>
        </w:rPr>
        <w:t>14</w:t>
      </w:r>
      <w:r w:rsidR="00B84E46" w:rsidRPr="00D03131">
        <w:rPr>
          <w:rFonts w:eastAsia="Calibri"/>
          <w:sz w:val="22"/>
          <w:szCs w:val="22"/>
        </w:rPr>
        <w:t>/</w:t>
      </w:r>
      <w:r w:rsidR="00132231" w:rsidRPr="00D03131">
        <w:rPr>
          <w:rFonts w:eastAsia="Calibri"/>
          <w:sz w:val="22"/>
          <w:szCs w:val="22"/>
        </w:rPr>
        <w:t>7</w:t>
      </w:r>
    </w:p>
    <w:p w:rsidR="00C25E94" w:rsidRDefault="00C25E94" w:rsidP="00C25E9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25E94" w:rsidRDefault="00C25E94" w:rsidP="00C25E94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C25E94" w:rsidRDefault="00D03131" w:rsidP="00C25E94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C25E94">
        <w:rPr>
          <w:sz w:val="20"/>
          <w:szCs w:val="20"/>
        </w:rPr>
        <w:t>1 к программе</w:t>
      </w:r>
    </w:p>
    <w:p w:rsidR="00C25E94" w:rsidRDefault="00C25E94" w:rsidP="00C25E94">
      <w:pPr>
        <w:pStyle w:val="ConsPlusNormal0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3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hyperlink r:id="rId8" w:history="1">
        <w:r w:rsidRPr="00D0313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результаты</w:t>
        </w:r>
      </w:hyperlink>
      <w:r w:rsidRPr="00D03131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«Культура»</w:t>
      </w:r>
    </w:p>
    <w:p w:rsidR="00C25E94" w:rsidRDefault="00C25E94" w:rsidP="00C25E94">
      <w:pPr>
        <w:pStyle w:val="ConsPlusNormal0"/>
        <w:spacing w:before="220"/>
        <w:ind w:left="720"/>
        <w:jc w:val="right"/>
        <w:rPr>
          <w:rFonts w:ascii="Times New Roman" w:hAnsi="Times New Roman" w:cs="Times New Roman"/>
          <w:b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120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C25E94" w:rsidTr="00C25E9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ff3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25E94" w:rsidTr="00C25E94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5E94" w:rsidTr="00C25E9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Подпрограмма 1 </w:t>
            </w:r>
            <w:r>
              <w:rPr>
                <w:rStyle w:val="A50"/>
                <w:b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25E94" w:rsidTr="00C25E9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02. 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C25E94" w:rsidTr="00C25E9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Целевой показатель 2 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объектов культурного наследия, находящихся в собственности муниципальных образований, по </w:t>
            </w:r>
            <w:r>
              <w:rPr>
                <w:sz w:val="20"/>
                <w:szCs w:val="20"/>
              </w:rPr>
              <w:lastRenderedPageBreak/>
              <w:t>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02. </w:t>
            </w:r>
          </w:p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Сохранение, использование и популяризация объектов культурного наследия находящихся </w:t>
            </w:r>
            <w:r>
              <w:rPr>
                <w:sz w:val="20"/>
                <w:szCs w:val="20"/>
              </w:rPr>
              <w:lastRenderedPageBreak/>
              <w:t xml:space="preserve">в собственности муниципального образования </w:t>
            </w:r>
          </w:p>
        </w:tc>
      </w:tr>
      <w:tr w:rsidR="00C25E94" w:rsidTr="00C25E9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26,67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01.  </w:t>
            </w:r>
          </w:p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3 «Развитие библиотечного дела в Московской области»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Макропоказатель подпрограммы. Обеспечение </w:t>
            </w:r>
            <w:proofErr w:type="gramStart"/>
            <w:r>
              <w:rPr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3: </w:t>
            </w:r>
          </w:p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2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 Московской области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Макропоказатель 1.</w:t>
            </w:r>
            <w:r>
              <w:rPr>
                <w:b/>
                <w:sz w:val="20"/>
                <w:szCs w:val="20"/>
              </w:rPr>
              <w:br/>
              <w:t xml:space="preserve">Увеличение числа посещений культурных мероприятий </w:t>
            </w:r>
          </w:p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(приоритетный показатель на 2021 год)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Указ ПРФ от 04.02.2021 № 68 «Об оценке эффективно</w:t>
            </w:r>
            <w:r>
              <w:rPr>
                <w:sz w:val="20"/>
                <w:szCs w:val="20"/>
              </w:rPr>
              <w:lastRenderedPageBreak/>
              <w:t>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712,661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831,438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03.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Реализация отдельных функций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органа местного самоуправления в сфере культуры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Основное мероприятие 05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Обеспечение функций культурно-досуговых учреждений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6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7</w:t>
            </w:r>
          </w:p>
          <w:p w:rsidR="00C25E94" w:rsidRDefault="00C25E94">
            <w:pPr>
              <w:spacing w:line="276" w:lineRule="auto"/>
              <w:rPr>
                <w:i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>
              <w:rPr>
                <w:sz w:val="20"/>
                <w:szCs w:val="20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Указ Президента Российской Федерации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10</w:t>
            </w:r>
          </w:p>
          <w:p w:rsidR="00C25E94" w:rsidRDefault="00C25E94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  <w:p w:rsidR="00C25E94" w:rsidRDefault="00C25E94">
            <w:pPr>
              <w:suppressAutoHyphens/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(не </w:t>
            </w:r>
            <w:proofErr w:type="gramStart"/>
            <w:r>
              <w:rPr>
                <w:b/>
                <w:sz w:val="20"/>
                <w:szCs w:val="20"/>
              </w:rPr>
              <w:t>приоритетный</w:t>
            </w:r>
            <w:proofErr w:type="gramEnd"/>
            <w:r>
              <w:rPr>
                <w:b/>
                <w:sz w:val="20"/>
                <w:szCs w:val="20"/>
              </w:rPr>
              <w:t xml:space="preserve">, но обязательный для включения в муниципальные программы ОМСУ)   </w:t>
            </w:r>
          </w:p>
          <w:p w:rsidR="00C25E94" w:rsidRDefault="00C25E94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5 «</w:t>
            </w:r>
            <w:r>
              <w:rPr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Целевой показатель 2 </w:t>
            </w:r>
          </w:p>
          <w:p w:rsidR="00C25E94" w:rsidRDefault="00C25E94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(приоритетный на 2021 год)</w:t>
            </w:r>
          </w:p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капитально отремонтированных объектов </w:t>
            </w:r>
            <w:r>
              <w:rPr>
                <w:sz w:val="20"/>
                <w:szCs w:val="20"/>
              </w:rPr>
              <w:lastRenderedPageBreak/>
              <w:t>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Региональный проект </w:t>
            </w:r>
            <w:r>
              <w:rPr>
                <w:sz w:val="20"/>
                <w:szCs w:val="20"/>
              </w:rPr>
              <w:lastRenderedPageBreak/>
              <w:t>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Федеральный проект «Культурная </w:t>
            </w:r>
            <w:r>
              <w:rPr>
                <w:sz w:val="20"/>
                <w:szCs w:val="20"/>
              </w:rPr>
              <w:lastRenderedPageBreak/>
              <w:t>среда»</w:t>
            </w:r>
          </w:p>
          <w:p w:rsidR="00C25E94" w:rsidRDefault="00C25E9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C25E94" w:rsidRDefault="00C25E94">
            <w:pPr>
              <w:spacing w:line="276" w:lineRule="auto"/>
              <w:rPr>
                <w:strike/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5.6.1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5.6.2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>
              <w:rPr>
                <w:sz w:val="20"/>
                <w:szCs w:val="20"/>
              </w:rPr>
              <w:t>многофукциональных</w:t>
            </w:r>
            <w:proofErr w:type="spellEnd"/>
            <w:r>
              <w:rPr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5.6.3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4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муниципальных учреждений культуры Московской области, по которым осуществлено развитие </w:t>
            </w:r>
            <w:r>
              <w:rPr>
                <w:sz w:val="20"/>
                <w:szCs w:val="20"/>
              </w:rPr>
              <w:lastRenderedPageBreak/>
              <w:t>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1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2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25E94" w:rsidTr="00C25E9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25E94" w:rsidTr="00C25E9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4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</w:t>
            </w:r>
            <w:r>
              <w:rPr>
                <w:sz w:val="20"/>
                <w:szCs w:val="20"/>
              </w:rPr>
              <w:lastRenderedPageBreak/>
              <w:t>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C25E94" w:rsidTr="00C25E9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5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 (показатель госпрограммы)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C25E94" w:rsidRDefault="00C25E94" w:rsidP="00C25E94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25E94" w:rsidRDefault="00C25E94" w:rsidP="00C25E9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5E94" w:rsidRDefault="00D03131" w:rsidP="00C25E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C25E94">
        <w:rPr>
          <w:sz w:val="20"/>
          <w:szCs w:val="20"/>
        </w:rPr>
        <w:t>2 к программе</w:t>
      </w:r>
    </w:p>
    <w:p w:rsidR="00C25E94" w:rsidRDefault="00C25E94" w:rsidP="00C25E94">
      <w:pPr>
        <w:pStyle w:val="ConsPlusNormal0"/>
        <w:spacing w:line="276" w:lineRule="auto"/>
        <w:ind w:firstLine="539"/>
        <w:jc w:val="right"/>
        <w:rPr>
          <w:rFonts w:ascii="Times New Roman" w:hAnsi="Times New Roman" w:cs="Times New Roman"/>
        </w:rPr>
      </w:pPr>
    </w:p>
    <w:p w:rsidR="00C25E94" w:rsidRDefault="00C25E94" w:rsidP="00C25E94">
      <w:pPr>
        <w:pStyle w:val="ConsPlusNormal0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</w:p>
    <w:p w:rsidR="00C25E94" w:rsidRDefault="00C25E94" w:rsidP="00C25E94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7"/>
        <w:gridCol w:w="2895"/>
        <w:gridCol w:w="1217"/>
        <w:gridCol w:w="3828"/>
        <w:gridCol w:w="3120"/>
        <w:gridCol w:w="2978"/>
      </w:tblGrid>
      <w:tr w:rsidR="00C25E94" w:rsidTr="00C25E94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Период представления отчетности</w:t>
            </w:r>
          </w:p>
        </w:tc>
      </w:tr>
      <w:tr w:rsidR="00C25E94" w:rsidTr="00C25E94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C25E94" w:rsidTr="00C25E94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25E94" w:rsidTr="00C25E94">
        <w:trPr>
          <w:trHeight w:val="34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1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Д=( 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Кобщ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)х</w:t>
            </w:r>
            <w:proofErr w:type="gramEnd"/>
            <w:r>
              <w:rPr>
                <w:sz w:val="18"/>
                <w:szCs w:val="18"/>
              </w:rPr>
              <w:t>100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– доля </w:t>
            </w:r>
            <w:proofErr w:type="gramStart"/>
            <w:r>
              <w:rPr>
                <w:sz w:val="18"/>
                <w:szCs w:val="18"/>
              </w:rPr>
              <w:t>ОКН</w:t>
            </w:r>
            <w:proofErr w:type="gramEnd"/>
            <w:r>
              <w:rPr>
                <w:sz w:val="18"/>
                <w:szCs w:val="18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 – -количество ОКН в собственности муниципального </w:t>
            </w:r>
            <w:proofErr w:type="gramStart"/>
            <w:r>
              <w:rPr>
                <w:sz w:val="18"/>
                <w:szCs w:val="18"/>
              </w:rPr>
              <w:t>образования</w:t>
            </w:r>
            <w:proofErr w:type="gramEnd"/>
            <w:r>
              <w:rPr>
                <w:sz w:val="18"/>
                <w:szCs w:val="18"/>
              </w:rPr>
              <w:t xml:space="preserve"> по которым проведены работы 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Кобщ</w:t>
            </w:r>
            <w:proofErr w:type="spellEnd"/>
            <w:r>
              <w:rPr>
                <w:sz w:val="18"/>
                <w:szCs w:val="18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(при необходимости)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Годовая, ежеквартальная </w:t>
            </w:r>
          </w:p>
        </w:tc>
      </w:tr>
      <w:tr w:rsidR="00C25E94" w:rsidTr="00C25E94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2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Кб+</w:t>
            </w:r>
            <w:r>
              <w:rPr>
                <w:sz w:val="18"/>
                <w:szCs w:val="18"/>
                <w:lang w:val="en-US"/>
              </w:rPr>
              <w:t>n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 – базовый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. – количество проектной документации, разработанной в рамках муниципальной программы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3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</w:t>
            </w:r>
            <w:r>
              <w:rPr>
                <w:sz w:val="18"/>
                <w:szCs w:val="18"/>
              </w:rPr>
              <w:lastRenderedPageBreak/>
              <w:t>информационные надписи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ДН=(Н/Кб</w:t>
            </w:r>
            <w:proofErr w:type="gramStart"/>
            <w:r>
              <w:rPr>
                <w:sz w:val="18"/>
                <w:szCs w:val="18"/>
              </w:rPr>
              <w:t>)х</w:t>
            </w:r>
            <w:proofErr w:type="gramEnd"/>
            <w:r>
              <w:rPr>
                <w:sz w:val="18"/>
                <w:szCs w:val="18"/>
              </w:rPr>
              <w:t>100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 xml:space="preserve">–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ля ОКН на которые установлены информационные надписи от общего числа объектов в собственности ОМСУ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 – базовый </w:t>
            </w:r>
            <w:proofErr w:type="spellStart"/>
            <w:r>
              <w:rPr>
                <w:sz w:val="18"/>
                <w:szCs w:val="18"/>
              </w:rPr>
              <w:t>кооф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-к</w:t>
            </w:r>
            <w:proofErr w:type="gramEnd"/>
            <w:r>
              <w:rPr>
                <w:sz w:val="18"/>
                <w:szCs w:val="18"/>
              </w:rPr>
              <w:t xml:space="preserve">оличество ОКН в </w:t>
            </w:r>
            <w:r>
              <w:rPr>
                <w:sz w:val="18"/>
                <w:szCs w:val="18"/>
              </w:rPr>
              <w:lastRenderedPageBreak/>
              <w:t>собственности муниципального образования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--количество ОКН в собственности муниципального </w:t>
            </w:r>
            <w:proofErr w:type="gramStart"/>
            <w:r>
              <w:rPr>
                <w:sz w:val="18"/>
                <w:szCs w:val="18"/>
              </w:rPr>
              <w:t>образования</w:t>
            </w:r>
            <w:proofErr w:type="gramEnd"/>
            <w:r>
              <w:rPr>
                <w:sz w:val="18"/>
                <w:szCs w:val="18"/>
              </w:rPr>
              <w:t xml:space="preserve"> на которые установлены информационные надписи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Макропоказатель подпрограммы.</w:t>
            </w:r>
            <w:r>
              <w:rPr>
                <w:sz w:val="18"/>
                <w:szCs w:val="18"/>
              </w:rPr>
              <w:br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2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3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ПБ =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/Н, где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– количество посещений;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4 «Развитие профессионального искусства, гастрольно-концертной </w:t>
            </w:r>
            <w:r>
              <w:rPr>
                <w:b/>
                <w:sz w:val="18"/>
                <w:szCs w:val="18"/>
              </w:rPr>
              <w:t xml:space="preserve">и культурно-досуговой </w:t>
            </w:r>
            <w:r>
              <w:rPr>
                <w:b/>
                <w:bCs/>
                <w:sz w:val="18"/>
                <w:szCs w:val="18"/>
              </w:rPr>
              <w:t>деятельности, кинематографии Московской области»</w:t>
            </w:r>
          </w:p>
          <w:p w:rsidR="00C25E94" w:rsidRDefault="00C25E9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Макропоказатель 1.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18"/>
                <w:szCs w:val="18"/>
              </w:rPr>
              <w:t xml:space="preserve">Увеличение числа посещений культурных мероприятий </w:t>
            </w:r>
          </w:p>
          <w:p w:rsidR="00C25E94" w:rsidRDefault="00C25E9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</w:t>
            </w:r>
            <w:r>
              <w:rPr>
                <w:sz w:val="18"/>
                <w:szCs w:val="18"/>
              </w:rPr>
              <w:lastRenderedPageBreak/>
              <w:t>органов исполнительной власти субъектов Российской Федерации»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I(t) = A(t) + B(t) + C(t) + D(t) + E(t) + F(t) + G(t) + H(t) + J(t) + K(t) + L(t) + M(t) + N(t),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где: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I(t) - суммарное число посещений культурных мероприятий;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A(t) - число посещений библиотек;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C(t) - число посещений музеев;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D(t) - число посещений театров;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E(t) - число посещений парков культуры и отдыха;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F(t) - число посещений концертных организаций и самостоятельных коллективов;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G(t) - число посещений цирков;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H(t) - число посещений зоопарков;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J(t) - число посещений кинотеатров;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M(t) - число посещений культурных мероприятий, проводимых профессиональными образовательными </w:t>
            </w:r>
            <w:r>
              <w:rPr>
                <w:sz w:val="18"/>
                <w:szCs w:val="18"/>
              </w:rPr>
              <w:lastRenderedPageBreak/>
              <w:t>организациями;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- отчетный период.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2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интернет-сервисов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, сводные данные Министерства культуры Московской области, Министерства образования Московской области, Министерства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6</w:t>
            </w:r>
          </w:p>
          <w:p w:rsidR="00C25E94" w:rsidRDefault="00C25E94">
            <w:pPr>
              <w:spacing w:line="276" w:lineRule="auto"/>
              <w:rPr>
                <w:rFonts w:cstheme="minorBidi"/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ежеквартально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7</w:t>
            </w:r>
          </w:p>
          <w:p w:rsidR="00C25E94" w:rsidRDefault="00C25E94">
            <w:pPr>
              <w:spacing w:line="276" w:lineRule="auto"/>
              <w:rPr>
                <w:rFonts w:eastAsia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Зк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Дмо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x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100%,</w:t>
            </w:r>
          </w:p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где:</w:t>
            </w:r>
          </w:p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Зк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Дмо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Годовой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7</w:t>
            </w:r>
          </w:p>
          <w:p w:rsidR="00C25E94" w:rsidRDefault="00C25E9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>
              <w:rPr>
                <w:sz w:val="20"/>
                <w:szCs w:val="20"/>
              </w:rPr>
              <w:t>культуры (</w:t>
            </w:r>
            <w:r>
              <w:rPr>
                <w:b/>
                <w:sz w:val="18"/>
                <w:szCs w:val="18"/>
              </w:rPr>
              <w:t xml:space="preserve">не </w:t>
            </w:r>
            <w:proofErr w:type="gramStart"/>
            <w:r>
              <w:rPr>
                <w:b/>
                <w:sz w:val="18"/>
                <w:szCs w:val="18"/>
              </w:rPr>
              <w:t>приоритетный</w:t>
            </w:r>
            <w:proofErr w:type="gramEnd"/>
            <w:r>
              <w:rPr>
                <w:b/>
                <w:sz w:val="18"/>
                <w:szCs w:val="18"/>
              </w:rPr>
              <w:t xml:space="preserve">, но обязательный для включения в муниципальные программы ОМСУ)   </w:t>
            </w:r>
          </w:p>
          <w:p w:rsidR="00C25E94" w:rsidRDefault="00C25E94">
            <w:pPr>
              <w:spacing w:line="276" w:lineRule="auto"/>
              <w:rPr>
                <w:rFonts w:cstheme="minorBidi"/>
                <w:sz w:val="28"/>
                <w:szCs w:val="22"/>
              </w:rPr>
            </w:pPr>
          </w:p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Новый показатель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 DOBRO.RU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5  «</w:t>
            </w:r>
            <w:r>
              <w:rPr>
                <w:b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2</w:t>
            </w:r>
          </w:p>
          <w:p w:rsidR="00C25E94" w:rsidRDefault="00C25E94">
            <w:pPr>
              <w:spacing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М+ Δ КДУ   + Δ ЦКР + ΔДШИ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= расчет показателя за отчетный год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Где: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М - количество объектов музейного типа отремонтированных в отчетном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КДУ 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ЦКР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центров культурного развития отремонтированных в отчетном году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ΔДШИ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количество детских школ искусств отремонтированных в текущем году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Годовой, 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КЗ + Δ АК + Δ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Бм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+ Δ ДШИ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оснащенные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муз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инстр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+ Δ ДШИ федеральный проект = расчет показателя за отчетный год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КЗ - количество кинозалов, получивших оборудование в текущем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А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К-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Бм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- количество муниципальных библиотек переоснащенных по модельному стандарту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ДШИ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оснащенные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музыкальными  инструментами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-детские школы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искусств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оснащенные музыкальными инструментами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ДШИ федеральный проект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-музыкальные инструменты, оборудование и учебные материалы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Годовой,</w:t>
            </w:r>
            <w:r>
              <w:rPr>
                <w:sz w:val="18"/>
                <w:szCs w:val="18"/>
              </w:rPr>
              <w:t xml:space="preserve"> ежеквартальная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4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Количество муниципальных учреждений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Счет, товарная накладная, акт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lastRenderedPageBreak/>
              <w:t>приеме-передачи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товара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Подпрограмма 7 «Развитие архивного дела в Московской области»</w:t>
            </w:r>
          </w:p>
        </w:tc>
      </w:tr>
      <w:tr w:rsidR="00C25E94" w:rsidTr="00C25E94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1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V</w:t>
            </w:r>
            <w:proofErr w:type="gramEnd"/>
            <w:r>
              <w:rPr>
                <w:color w:val="000000"/>
                <w:sz w:val="18"/>
                <w:szCs w:val="18"/>
              </w:rPr>
              <w:t>дну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  <w:szCs w:val="18"/>
              </w:rPr>
              <w:t>Vаф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100%,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Vдну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Vаф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>
              <w:rPr>
                <w:color w:val="000000"/>
                <w:sz w:val="18"/>
                <w:szCs w:val="18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Ежегодно, ежеквартально</w:t>
            </w:r>
          </w:p>
        </w:tc>
      </w:tr>
      <w:tr w:rsidR="00C25E94" w:rsidTr="00C25E94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2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А = </w:t>
            </w:r>
            <w:proofErr w:type="spellStart"/>
            <w:r>
              <w:rPr>
                <w:color w:val="000000"/>
                <w:sz w:val="18"/>
                <w:szCs w:val="18"/>
              </w:rPr>
              <w:t>Аа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color w:val="000000"/>
                <w:sz w:val="18"/>
                <w:szCs w:val="18"/>
              </w:rPr>
              <w:t>Аоб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100%, 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Аа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Аоб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>
              <w:rPr>
                <w:color w:val="000000"/>
                <w:sz w:val="18"/>
                <w:szCs w:val="18"/>
              </w:rPr>
              <w:t>Росархива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ежеквартально;</w:t>
            </w:r>
            <w:r>
              <w:rPr>
                <w:color w:val="000000"/>
                <w:sz w:val="18"/>
                <w:szCs w:val="18"/>
              </w:rPr>
              <w:br/>
              <w:t>1 раз в полугодие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25E94" w:rsidTr="00C25E94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3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Дэц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color w:val="000000"/>
                <w:sz w:val="18"/>
                <w:szCs w:val="18"/>
              </w:rPr>
              <w:t>Дпэц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/ 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100%, 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Дэц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Дпэц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ежеквартально;</w:t>
            </w:r>
            <w:r>
              <w:rPr>
                <w:color w:val="000000"/>
                <w:sz w:val="18"/>
                <w:szCs w:val="18"/>
              </w:rPr>
              <w:br/>
              <w:t>1 раз в полугодие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25E94" w:rsidTr="00C25E94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4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К=Кф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Кп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где: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>
              <w:rPr>
                <w:color w:val="000000"/>
                <w:sz w:val="18"/>
                <w:szCs w:val="18"/>
              </w:rPr>
              <w:t>количество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C25E94" w:rsidTr="00C25E94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5</w:t>
            </w:r>
          </w:p>
          <w:p w:rsidR="00C25E94" w:rsidRDefault="00C25E94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</w:t>
            </w:r>
            <w:r>
              <w:rPr>
                <w:sz w:val="18"/>
                <w:szCs w:val="18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 = </w:t>
            </w:r>
            <w:proofErr w:type="spellStart"/>
            <w:r>
              <w:rPr>
                <w:sz w:val="18"/>
                <w:szCs w:val="18"/>
              </w:rPr>
              <w:t>Спмо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100, </w:t>
            </w:r>
            <w:r>
              <w:rPr>
                <w:sz w:val="18"/>
                <w:szCs w:val="18"/>
              </w:rPr>
              <w:br/>
              <w:t>где: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 xml:space="preserve"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</w:t>
            </w:r>
            <w:r>
              <w:rPr>
                <w:sz w:val="18"/>
                <w:szCs w:val="18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Спмо</w:t>
            </w:r>
            <w:proofErr w:type="spellEnd"/>
            <w:r>
              <w:rPr>
                <w:sz w:val="18"/>
                <w:szCs w:val="18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</w:t>
            </w:r>
            <w:r>
              <w:rPr>
                <w:sz w:val="18"/>
                <w:szCs w:val="18"/>
              </w:rPr>
              <w:lastRenderedPageBreak/>
              <w:t>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</w:tr>
    </w:tbl>
    <w:p w:rsidR="00C25E94" w:rsidRDefault="00C25E94" w:rsidP="00C25E94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C25E94" w:rsidRDefault="00C25E94" w:rsidP="00C25E94">
      <w:pPr>
        <w:pStyle w:val="ConsPlusNormal0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C25E94" w:rsidRDefault="00C25E94" w:rsidP="00C25E94">
      <w:pPr>
        <w:pStyle w:val="ConsPlusNormal0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FF62DC" w:rsidRDefault="00FF62DC" w:rsidP="00FF62DC">
      <w:pPr>
        <w:widowControl w:val="0"/>
        <w:autoSpaceDE w:val="0"/>
        <w:autoSpaceDN w:val="0"/>
        <w:adjustRightInd w:val="0"/>
        <w:jc w:val="right"/>
        <w:outlineLvl w:val="1"/>
      </w:pP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headerReference w:type="even" r:id="rId9"/>
      <w:headerReference w:type="default" r:id="rId10"/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29" w:rsidRDefault="00BC0D29">
      <w:r>
        <w:separator/>
      </w:r>
    </w:p>
  </w:endnote>
  <w:endnote w:type="continuationSeparator" w:id="0">
    <w:p w:rsidR="00BC0D29" w:rsidRDefault="00BC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29" w:rsidRDefault="00BC0D29">
      <w:r>
        <w:separator/>
      </w:r>
    </w:p>
  </w:footnote>
  <w:footnote w:type="continuationSeparator" w:id="0">
    <w:p w:rsidR="00BC0D29" w:rsidRDefault="00BC0D29">
      <w:r>
        <w:continuationSeparator/>
      </w:r>
    </w:p>
  </w:footnote>
  <w:footnote w:id="1">
    <w:p w:rsidR="00A15B2B" w:rsidRDefault="00A15B2B" w:rsidP="00C25E94">
      <w:pPr>
        <w:pStyle w:val="afa"/>
        <w:rPr>
          <w:rFonts w:ascii="Times New Roman" w:hAnsi="Times New Roman" w:cstheme="minorBidi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2B" w:rsidRDefault="0021389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5B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B2B" w:rsidRDefault="00A15B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2B" w:rsidRDefault="00A15B2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15B2B" w:rsidRDefault="00A15B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8"/>
  </w:num>
  <w:num w:numId="20">
    <w:abstractNumId w:val="6"/>
  </w:num>
  <w:num w:numId="21">
    <w:abstractNumId w:val="14"/>
  </w:num>
  <w:num w:numId="22">
    <w:abstractNumId w:val="10"/>
  </w:num>
  <w:num w:numId="23">
    <w:abstractNumId w:val="18"/>
  </w:num>
  <w:num w:numId="24">
    <w:abstractNumId w:val="2"/>
  </w:num>
  <w:num w:numId="25">
    <w:abstractNumId w:val="12"/>
  </w:num>
  <w:num w:numId="26">
    <w:abstractNumId w:val="5"/>
  </w:num>
  <w:num w:numId="27">
    <w:abstractNumId w:val="3"/>
  </w:num>
  <w:num w:numId="28">
    <w:abstractNumId w:val="1"/>
  </w:num>
  <w:num w:numId="29">
    <w:abstractNumId w:val="16"/>
  </w:num>
  <w:num w:numId="30">
    <w:abstractNumId w:val="15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4F1E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231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895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AF8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845"/>
    <w:rsid w:val="00271A1B"/>
    <w:rsid w:val="00272240"/>
    <w:rsid w:val="00272AB9"/>
    <w:rsid w:val="002743E0"/>
    <w:rsid w:val="00277077"/>
    <w:rsid w:val="00277C52"/>
    <w:rsid w:val="00290D02"/>
    <w:rsid w:val="00291DA9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4113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5E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93C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5FEC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596F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4D"/>
    <w:rsid w:val="006543AE"/>
    <w:rsid w:val="006548F9"/>
    <w:rsid w:val="006565B0"/>
    <w:rsid w:val="0065675E"/>
    <w:rsid w:val="00660AC0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272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0F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0EA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27D0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37"/>
    <w:rsid w:val="008E65AF"/>
    <w:rsid w:val="008E7EB9"/>
    <w:rsid w:val="008F0D31"/>
    <w:rsid w:val="008F1DAC"/>
    <w:rsid w:val="008F1DCA"/>
    <w:rsid w:val="008F2A68"/>
    <w:rsid w:val="008F3465"/>
    <w:rsid w:val="008F6179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6AB6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2B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E62"/>
    <w:rsid w:val="00AA20E2"/>
    <w:rsid w:val="00AA50D7"/>
    <w:rsid w:val="00AA54AA"/>
    <w:rsid w:val="00AA57B8"/>
    <w:rsid w:val="00AA5F4E"/>
    <w:rsid w:val="00AA7111"/>
    <w:rsid w:val="00AA77AE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C6A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07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0D29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E94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4ED5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131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6BEB"/>
    <w:rsid w:val="00D57570"/>
    <w:rsid w:val="00D60061"/>
    <w:rsid w:val="00D603C4"/>
    <w:rsid w:val="00D608AE"/>
    <w:rsid w:val="00D6138D"/>
    <w:rsid w:val="00D61B68"/>
    <w:rsid w:val="00D62167"/>
    <w:rsid w:val="00D62295"/>
    <w:rsid w:val="00D6321D"/>
    <w:rsid w:val="00D63BF7"/>
    <w:rsid w:val="00D65D94"/>
    <w:rsid w:val="00D66DDA"/>
    <w:rsid w:val="00D67D67"/>
    <w:rsid w:val="00D702D1"/>
    <w:rsid w:val="00D7030B"/>
    <w:rsid w:val="00D70509"/>
    <w:rsid w:val="00D7124D"/>
    <w:rsid w:val="00D7262A"/>
    <w:rsid w:val="00D7270A"/>
    <w:rsid w:val="00D739CE"/>
    <w:rsid w:val="00D74009"/>
    <w:rsid w:val="00D75930"/>
    <w:rsid w:val="00D759DD"/>
    <w:rsid w:val="00D80266"/>
    <w:rsid w:val="00D81550"/>
    <w:rsid w:val="00D81986"/>
    <w:rsid w:val="00D81AD0"/>
    <w:rsid w:val="00D824D9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1F9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35A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A3B"/>
    <w:rsid w:val="00DD3697"/>
    <w:rsid w:val="00DD5856"/>
    <w:rsid w:val="00DD5C1D"/>
    <w:rsid w:val="00DD7044"/>
    <w:rsid w:val="00DD7A7E"/>
    <w:rsid w:val="00DD7D23"/>
    <w:rsid w:val="00DE4045"/>
    <w:rsid w:val="00DE4359"/>
    <w:rsid w:val="00DE7557"/>
    <w:rsid w:val="00DE7D2C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6E46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558"/>
    <w:rsid w:val="00E85CCA"/>
    <w:rsid w:val="00E867A8"/>
    <w:rsid w:val="00E87FAE"/>
    <w:rsid w:val="00E90241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3FAF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95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213895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895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5E78-1FD0-48A9-8703-133D00AC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Reanimator Extreme Edition</Company>
  <LinksUpToDate>false</LinksUpToDate>
  <CharactersWithSpaces>27619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Elanika</cp:lastModifiedBy>
  <cp:revision>3</cp:revision>
  <cp:lastPrinted>2021-07-06T10:15:00Z</cp:lastPrinted>
  <dcterms:created xsi:type="dcterms:W3CDTF">2021-07-09T09:17:00Z</dcterms:created>
  <dcterms:modified xsi:type="dcterms:W3CDTF">2021-07-09T09:20:00Z</dcterms:modified>
</cp:coreProperties>
</file>