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66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  <w:bookmarkStart w:id="0" w:name="_GoBack"/>
      <w:bookmarkEnd w:id="0"/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  <w:r w:rsidRPr="00EF21E1">
        <w:rPr>
          <w:rFonts w:eastAsia="Calibri"/>
          <w:szCs w:val="24"/>
        </w:rPr>
        <w:t xml:space="preserve">Приложение 1 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  <w:r w:rsidRPr="00EF21E1">
        <w:rPr>
          <w:rFonts w:eastAsia="Calibri"/>
          <w:szCs w:val="24"/>
        </w:rPr>
        <w:t>УТВЕРЖДЕНО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rPr>
          <w:rFonts w:eastAsia="Calibri"/>
          <w:szCs w:val="24"/>
        </w:rPr>
      </w:pPr>
      <w:r w:rsidRPr="00EF21E1">
        <w:rPr>
          <w:rFonts w:eastAsia="Calibri"/>
          <w:szCs w:val="24"/>
        </w:rPr>
        <w:t xml:space="preserve">постановлением Главы 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rPr>
          <w:rFonts w:eastAsia="Calibri"/>
          <w:szCs w:val="24"/>
        </w:rPr>
      </w:pPr>
      <w:r w:rsidRPr="00EF21E1">
        <w:rPr>
          <w:rFonts w:eastAsia="Calibri"/>
          <w:szCs w:val="24"/>
        </w:rPr>
        <w:t>городского округа Зарайск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rPr>
          <w:rFonts w:eastAsia="Calibri"/>
          <w:szCs w:val="24"/>
        </w:rPr>
      </w:pPr>
      <w:r w:rsidRPr="00DF68C2">
        <w:rPr>
          <w:rFonts w:eastAsia="Calibri"/>
          <w:szCs w:val="24"/>
        </w:rPr>
        <w:t>от  28 июня 2019  года № 995/6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center"/>
        <w:rPr>
          <w:rFonts w:eastAsia="Calibri"/>
          <w:szCs w:val="24"/>
        </w:rPr>
      </w:pPr>
    </w:p>
    <w:p w:rsidR="00EB0966" w:rsidRPr="00EF21E1" w:rsidRDefault="00EB0966" w:rsidP="00EB0966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EF21E1">
        <w:rPr>
          <w:rFonts w:eastAsia="Calibri"/>
          <w:b/>
          <w:bCs/>
          <w:szCs w:val="24"/>
        </w:rPr>
        <w:t>ОБЪЯВЛЕНИЕ</w:t>
      </w:r>
    </w:p>
    <w:p w:rsidR="00EB0966" w:rsidRPr="00EF21E1" w:rsidRDefault="00EB0966" w:rsidP="00EB096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4"/>
        </w:rPr>
      </w:pPr>
      <w:r w:rsidRPr="00EF21E1">
        <w:rPr>
          <w:rFonts w:eastAsia="Calibri"/>
          <w:b/>
          <w:bCs/>
          <w:szCs w:val="24"/>
        </w:rPr>
        <w:t>о проведении конкурсного отбора на предоставление субсидий из бюджета городского округа Зарайск</w:t>
      </w:r>
      <w:r>
        <w:rPr>
          <w:rFonts w:eastAsia="Calibri"/>
          <w:b/>
          <w:bCs/>
          <w:szCs w:val="24"/>
        </w:rPr>
        <w:t xml:space="preserve"> Московской области</w:t>
      </w:r>
      <w:r w:rsidRPr="00EF21E1">
        <w:rPr>
          <w:rFonts w:eastAsia="Calibri"/>
          <w:b/>
          <w:bCs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4"/>
        </w:rPr>
      </w:pP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0966" w:rsidRPr="00656B94" w:rsidRDefault="00EB0966" w:rsidP="00EB0966">
      <w:pPr>
        <w:pStyle w:val="a9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Конкурсный отбор на предоставление субсидий из бюджета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EF21E1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Конкурс, Проект) проводится </w:t>
      </w:r>
      <w:r w:rsidRPr="000B7D64">
        <w:rPr>
          <w:rFonts w:ascii="Times New Roman" w:hAnsi="Times New Roman" w:cs="Times New Roman"/>
          <w:sz w:val="24"/>
          <w:szCs w:val="24"/>
        </w:rPr>
        <w:t>Администрацией городского округа Зарайск (далее – Организатор) в соответствии с Порядком предоставления субсидии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Зарайск (далее – Порядок), утвержденным постановлением Главы городского округа Зарайск от 28.06.2019 г.  № 988/6, в рамках реализации мероприятия</w:t>
      </w:r>
      <w:r w:rsidRPr="00EF21E1">
        <w:rPr>
          <w:rFonts w:ascii="Times New Roman" w:hAnsi="Times New Roman" w:cs="Times New Roman"/>
          <w:sz w:val="24"/>
          <w:szCs w:val="24"/>
        </w:rPr>
        <w:t xml:space="preserve"> «Обеспечение функционирования модели </w:t>
      </w:r>
      <w:r w:rsidRPr="00656B94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детей» муниципальной программы «Образование городского округа Зарайск Московской области»  на  2018 - 2022 гг.</w:t>
      </w:r>
    </w:p>
    <w:p w:rsidR="00EB0966" w:rsidRPr="00EF21E1" w:rsidRDefault="00EB0966" w:rsidP="00EB0966">
      <w:pPr>
        <w:pStyle w:val="a9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</w:t>
      </w:r>
      <w:r w:rsidRPr="000B7D64">
        <w:rPr>
          <w:rFonts w:ascii="Times New Roman" w:hAnsi="Times New Roman" w:cs="Times New Roman"/>
          <w:sz w:val="24"/>
          <w:szCs w:val="24"/>
        </w:rPr>
        <w:t xml:space="preserve">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пунктом </w:t>
      </w:r>
      <w:r w:rsidRPr="000B7D64">
        <w:rPr>
          <w:rFonts w:ascii="Times New Roman" w:hAnsi="Times New Roman" w:cs="Times New Roman"/>
          <w:sz w:val="24"/>
          <w:szCs w:val="24"/>
        </w:rPr>
        <w:fldChar w:fldCharType="begin"/>
      </w:r>
      <w:r w:rsidRPr="000B7D64">
        <w:rPr>
          <w:rFonts w:ascii="Times New Roman" w:hAnsi="Times New Roman" w:cs="Times New Roman"/>
          <w:sz w:val="24"/>
          <w:szCs w:val="24"/>
        </w:rPr>
        <w:instrText xml:space="preserve"> REF _Ref1849966 \r \h  \* MERGEFORMAT </w:instrText>
      </w:r>
      <w:r w:rsidRPr="000B7D64">
        <w:rPr>
          <w:rFonts w:ascii="Times New Roman" w:hAnsi="Times New Roman" w:cs="Times New Roman"/>
          <w:sz w:val="24"/>
          <w:szCs w:val="24"/>
        </w:rPr>
      </w:r>
      <w:r w:rsidRPr="000B7D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0B7D64">
        <w:rPr>
          <w:rFonts w:ascii="Times New Roman" w:hAnsi="Times New Roman" w:cs="Times New Roman"/>
          <w:sz w:val="24"/>
          <w:szCs w:val="24"/>
        </w:rPr>
        <w:fldChar w:fldCharType="end"/>
      </w:r>
      <w:r w:rsidRPr="000B7D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7D64">
        <w:rPr>
          <w:rFonts w:ascii="Times New Roman" w:hAnsi="Times New Roman" w:cs="Times New Roman"/>
          <w:sz w:val="24"/>
          <w:szCs w:val="24"/>
        </w:rPr>
        <w:t>бъявления.</w:t>
      </w: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Требования к содержанию, форме и составу заявки</w:t>
      </w:r>
    </w:p>
    <w:p w:rsidR="00EB0966" w:rsidRPr="00EF21E1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EB0966" w:rsidRPr="000B7D64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заявка оформлена в соответствии с приложением 1 к настоящему объявлению;</w:t>
      </w:r>
    </w:p>
    <w:p w:rsidR="00EB0966" w:rsidRPr="000B7D64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 w:rsidRPr="000B7D64">
        <w:rPr>
          <w:rFonts w:ascii="Times New Roman" w:hAnsi="Times New Roman" w:cs="Times New Roman"/>
          <w:sz w:val="24"/>
          <w:szCs w:val="24"/>
        </w:rPr>
        <w:fldChar w:fldCharType="begin"/>
      </w:r>
      <w:r w:rsidRPr="000B7D64">
        <w:rPr>
          <w:rFonts w:ascii="Times New Roman" w:hAnsi="Times New Roman" w:cs="Times New Roman"/>
          <w:sz w:val="24"/>
          <w:szCs w:val="24"/>
        </w:rPr>
        <w:instrText xml:space="preserve"> REF _Ref1849966 \r \h  \* MERGEFORMAT </w:instrText>
      </w:r>
      <w:r w:rsidRPr="000B7D64">
        <w:rPr>
          <w:rFonts w:ascii="Times New Roman" w:hAnsi="Times New Roman" w:cs="Times New Roman"/>
          <w:sz w:val="24"/>
          <w:szCs w:val="24"/>
        </w:rPr>
      </w:r>
      <w:r w:rsidRPr="000B7D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0B7D64">
        <w:rPr>
          <w:rFonts w:ascii="Times New Roman" w:hAnsi="Times New Roman" w:cs="Times New Roman"/>
          <w:sz w:val="24"/>
          <w:szCs w:val="24"/>
        </w:rPr>
        <w:fldChar w:fldCharType="end"/>
      </w:r>
      <w:r w:rsidRPr="000B7D64"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организацией; 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отсутствуют факты неисполнения обязательств перед Организатором;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lastRenderedPageBreak/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номинала сертификатов дополнительного образования, а также числа и структуры сертификатов дополнительного образования.</w:t>
      </w:r>
    </w:p>
    <w:p w:rsidR="00EB0966" w:rsidRPr="00EF21E1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Ref1849966"/>
      <w:r w:rsidRPr="00EF21E1">
        <w:rPr>
          <w:rFonts w:ascii="Times New Roman" w:hAnsi="Times New Roman" w:cs="Times New Roman"/>
          <w:sz w:val="24"/>
          <w:szCs w:val="24"/>
        </w:rPr>
        <w:t>На Конкурс в составе заявки Организации предоставляют следующие документы:</w:t>
      </w:r>
      <w:bookmarkEnd w:id="1"/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заверенную в установленном порядке не позднее, чем за один месяц до даты подачи документов;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справку, 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справку социально ориентированной некоммерческой организации об отсутствии просроченной задолженности по возврату в бюджет городского округа Зарайск 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 о готовности выполнения функций уполномоченной организации в городском округе Зарайск в соответствии с Правилами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(образец прилагается);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программу (перечень мероприятий) реализации Проекта в 2019 году, включающ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F21E1"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</w:p>
    <w:p w:rsidR="00EB0966" w:rsidRPr="000B7D64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EF21E1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21E1">
        <w:rPr>
          <w:rFonts w:ascii="Times New Roman" w:hAnsi="Times New Roman" w:cs="Times New Roman"/>
          <w:sz w:val="24"/>
          <w:szCs w:val="24"/>
        </w:rPr>
        <w:t xml:space="preserve">оглашение о предоставлении в 2019 году субсидии из бюджета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F21E1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</w:t>
      </w:r>
      <w:r w:rsidRPr="000B7D64">
        <w:rPr>
          <w:rFonts w:ascii="Times New Roman" w:hAnsi="Times New Roman" w:cs="Times New Roman"/>
          <w:sz w:val="24"/>
          <w:szCs w:val="24"/>
        </w:rPr>
        <w:t>образования детей по форме, предусмотренной приложением 3 к настоящему объявлению.</w:t>
      </w:r>
    </w:p>
    <w:p w:rsidR="00EB0966" w:rsidRPr="00EF21E1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документы скрепляются печатью Организации (при наличии) и заверяются подписью руководителя Организации;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Порядок, место, дата начала и дата окончания срока подачи заявок</w:t>
      </w:r>
    </w:p>
    <w:p w:rsidR="00EB0966" w:rsidRPr="000B7D64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Для обеспечения участия Организаций в Конкурсе Организатор осуществляет прием Заявок в период с 03 июля  2019 года по </w:t>
      </w:r>
      <w:r>
        <w:rPr>
          <w:rFonts w:ascii="Times New Roman" w:hAnsi="Times New Roman" w:cs="Times New Roman"/>
          <w:sz w:val="24"/>
          <w:szCs w:val="24"/>
        </w:rPr>
        <w:t>07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B0966" w:rsidRPr="000B7D64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заявок осуществляется по адресу: Московская область, г. Зарайск, ул.Советская, д. 17/56  по рабочим дням с 03 июля 2019 года по </w:t>
      </w:r>
      <w:r>
        <w:rPr>
          <w:rFonts w:ascii="Times New Roman" w:hAnsi="Times New Roman" w:cs="Times New Roman"/>
          <w:sz w:val="24"/>
          <w:szCs w:val="24"/>
        </w:rPr>
        <w:t>07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2019 года с 08.00 до 17.00 (перерыв на обед с 12.00 –до 13.00)  по московскому времени.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Организации (при наличии) с пометкой «На конкурс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21E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F21E1">
        <w:rPr>
          <w:rFonts w:ascii="Times New Roman" w:hAnsi="Times New Roman" w:cs="Times New Roman"/>
          <w:sz w:val="24"/>
          <w:szCs w:val="24"/>
        </w:rPr>
        <w:t>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году». Организация вправе не указывать на конверте свое наименование и почтовый адрес.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6B94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свою заявку в любое время до 12.00 часов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 w:rsidRPr="00656B94">
        <w:rPr>
          <w:rFonts w:ascii="Times New Roman" w:hAnsi="Times New Roman" w:cs="Times New Roman"/>
          <w:sz w:val="24"/>
          <w:szCs w:val="24"/>
        </w:rPr>
        <w:t xml:space="preserve"> 2019</w:t>
      </w:r>
      <w:r w:rsidRPr="00EF21E1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Pr="00EF21E1">
        <w:rPr>
          <w:rFonts w:ascii="Times New Roman" w:hAnsi="Times New Roman" w:cs="Times New Roman"/>
          <w:sz w:val="24"/>
          <w:szCs w:val="24"/>
        </w:rPr>
        <w:t>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EB0966" w:rsidRPr="000B7D64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Заявками и прилагаемыми документами на участие в Конкурсе: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 2019 года, 13:00 по московскому времени.</w:t>
      </w:r>
    </w:p>
    <w:p w:rsidR="00EB0966" w:rsidRPr="000B7D64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D64">
        <w:rPr>
          <w:rFonts w:ascii="Times New Roman" w:hAnsi="Times New Roman" w:cs="Times New Roman"/>
          <w:b/>
          <w:sz w:val="24"/>
          <w:szCs w:val="24"/>
        </w:rPr>
        <w:t>Порядок, место, дата и время рассмотрения заявок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Место вскрытия конвертов с Заявками и прилагаемыми документами на участие в Конкурсе: Московская область, г. Зарайск, ул. Советская, д. 17/56.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Организации, представившие конверты с Заявками и прилагаемыми</w:t>
      </w:r>
      <w:r w:rsidRPr="00EF21E1">
        <w:rPr>
          <w:rFonts w:ascii="Times New Roman" w:hAnsi="Times New Roman" w:cs="Times New Roman"/>
          <w:sz w:val="24"/>
          <w:szCs w:val="24"/>
        </w:rPr>
        <w:t xml:space="preserve"> документами на участие в Конкурсе вправе присутствовать на вскрытии конвертов, в </w:t>
      </w:r>
      <w:r w:rsidRPr="000B7D64">
        <w:rPr>
          <w:rFonts w:ascii="Times New Roman" w:hAnsi="Times New Roman" w:cs="Times New Roman"/>
          <w:sz w:val="24"/>
          <w:szCs w:val="24"/>
        </w:rPr>
        <w:t xml:space="preserve">случае если они известят об этом Организатора не позднее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2019 года до 12.00 по московскому времени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публикуется на официальном сайте администрации городского округа Зарайск Московской области в информационно-телекоммуникационной сети «Интернет» не позднее 16 часов по местному времени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 2019 года.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В протоколе вскрытия конвертов указывается: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наименование и организатор конкурса;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присутствующие члены комиссии;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наименование Организаций, представивших заявки, их местонахождение;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lastRenderedPageBreak/>
        <w:t>наличие/отсутствие в каждой заявке документов, предусмотренных настоящим Объявлением;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Конкурсе.</w:t>
      </w: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Конкурса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Заявки, допущенные до участия в Конкурсе, рассматриваются Конкурсной комиссией в срок не более 1 рабочего дня со дня вскрытия конвертов.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Представленные на Конкурс Заявки рассматриваются Конкурсной комиссией на предмет соответствия условий, указанных в Порядке, с учетом критериев, указанных в Порядке.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EF21E1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F21E1">
        <w:rPr>
          <w:rFonts w:ascii="Times New Roman" w:hAnsi="Times New Roman" w:cs="Times New Roman"/>
          <w:sz w:val="24"/>
          <w:szCs w:val="24"/>
        </w:rPr>
        <w:t xml:space="preserve"> Конкурса из числа указанных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ту, которая первой </w:t>
      </w:r>
      <w:r w:rsidRPr="00EF21E1">
        <w:rPr>
          <w:rFonts w:ascii="Times New Roman" w:hAnsi="Times New Roman" w:cs="Times New Roman"/>
          <w:sz w:val="24"/>
          <w:szCs w:val="24"/>
        </w:rPr>
        <w:t>подала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EF21E1">
        <w:rPr>
          <w:rFonts w:ascii="Times New Roman" w:hAnsi="Times New Roman" w:cs="Times New Roman"/>
          <w:sz w:val="24"/>
          <w:szCs w:val="24"/>
        </w:rPr>
        <w:t>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Если на Конкурс подаст заявку единственная Организация, то комиссия после рассмотрения заявки вправе объявить Конкурс состоявшимся.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Протокол рассмотрения Заявок, включающий информацию о победителе Конкурса, подлежит опубликованию на официальном сайте Администрации городского округа Зарайск в информационно-телекоммуникационной сети «Интернет» на следующий день после рассмотрения Заявок Конкурсной комиссией. </w:t>
      </w: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4256C3" w:rsidRDefault="00EB0966" w:rsidP="00EB0966">
      <w:pPr>
        <w:spacing w:line="360" w:lineRule="auto"/>
        <w:rPr>
          <w:sz w:val="28"/>
          <w:szCs w:val="28"/>
        </w:rPr>
      </w:pPr>
    </w:p>
    <w:p w:rsidR="00EB0966" w:rsidRDefault="00EB0966" w:rsidP="00EB0966">
      <w:pPr>
        <w:spacing w:line="360" w:lineRule="auto"/>
        <w:ind w:left="5670"/>
        <w:jc w:val="right"/>
        <w:rPr>
          <w:sz w:val="28"/>
          <w:szCs w:val="28"/>
        </w:rPr>
      </w:pPr>
    </w:p>
    <w:p w:rsidR="00EB0966" w:rsidRDefault="00EB0966" w:rsidP="00EB0966">
      <w:pPr>
        <w:spacing w:line="360" w:lineRule="auto"/>
        <w:ind w:left="5670"/>
        <w:jc w:val="right"/>
        <w:rPr>
          <w:szCs w:val="24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Pr="00BD4EAF" w:rsidRDefault="00EB0966" w:rsidP="00EB0966">
      <w:pPr>
        <w:ind w:left="5670"/>
        <w:jc w:val="right"/>
        <w:rPr>
          <w:sz w:val="20"/>
        </w:rPr>
      </w:pPr>
      <w:r w:rsidRPr="00BD4EAF">
        <w:rPr>
          <w:sz w:val="20"/>
        </w:rPr>
        <w:lastRenderedPageBreak/>
        <w:t xml:space="preserve">Приложение 1 </w:t>
      </w:r>
    </w:p>
    <w:p w:rsidR="00EB0966" w:rsidRPr="00BD4EAF" w:rsidRDefault="00EB0966" w:rsidP="00EB0966">
      <w:pPr>
        <w:ind w:left="5670"/>
        <w:jc w:val="right"/>
        <w:rPr>
          <w:sz w:val="20"/>
        </w:rPr>
      </w:pPr>
      <w:r w:rsidRPr="00BD4EAF">
        <w:rPr>
          <w:sz w:val="20"/>
        </w:rPr>
        <w:t>к объявлению о проведении конкурса</w:t>
      </w:r>
    </w:p>
    <w:p w:rsidR="00EB0966" w:rsidRPr="00BD4EAF" w:rsidRDefault="00EB0966" w:rsidP="00EB0966">
      <w:pPr>
        <w:ind w:left="5529"/>
        <w:jc w:val="center"/>
        <w:rPr>
          <w:szCs w:val="24"/>
        </w:rPr>
      </w:pPr>
    </w:p>
    <w:p w:rsidR="00EB0966" w:rsidRDefault="00EB0966" w:rsidP="00EB0966">
      <w:pPr>
        <w:jc w:val="center"/>
        <w:rPr>
          <w:b/>
          <w:smallCaps/>
          <w:szCs w:val="24"/>
        </w:rPr>
      </w:pPr>
    </w:p>
    <w:p w:rsidR="00EB0966" w:rsidRPr="00BD4EAF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3162"/>
        <w:gridCol w:w="3162"/>
      </w:tblGrid>
      <w:tr w:rsidR="00EB0966" w:rsidRPr="00BD4EAF" w:rsidTr="00EB0966">
        <w:trPr>
          <w:trHeight w:val="238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1. Общая информация об Организации - участнике Конкурса</w:t>
            </w:r>
          </w:p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b/>
                <w:szCs w:val="24"/>
              </w:rPr>
            </w:pPr>
            <w:r w:rsidRPr="00BD4EAF">
              <w:rPr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Основной государственный</w:t>
            </w:r>
          </w:p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Код(ы) по Общероссийскому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классификатору внешнеэкономической</w:t>
            </w:r>
          </w:p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b/>
                <w:szCs w:val="24"/>
              </w:rPr>
            </w:pPr>
            <w:r w:rsidRPr="00BD4EAF">
              <w:rPr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94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9924" w:type="dxa"/>
            <w:gridSpan w:val="4"/>
            <w:vAlign w:val="center"/>
          </w:tcPr>
          <w:p w:rsidR="00EB0966" w:rsidRPr="00BD4EAF" w:rsidRDefault="00EB0966" w:rsidP="00EB0966">
            <w:pPr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Банковские реквизиты:</w:t>
            </w:r>
          </w:p>
        </w:tc>
      </w:tr>
      <w:tr w:rsidR="00EB0966" w:rsidRPr="00BD4EAF" w:rsidTr="00EB0966">
        <w:trPr>
          <w:trHeight w:val="116"/>
        </w:trPr>
        <w:tc>
          <w:tcPr>
            <w:tcW w:w="9924" w:type="dxa"/>
            <w:gridSpan w:val="4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ИНН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КПП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9924" w:type="dxa"/>
            <w:gridSpan w:val="4"/>
          </w:tcPr>
          <w:p w:rsidR="00EB0966" w:rsidRDefault="00EB0966" w:rsidP="00EB0966">
            <w:pPr>
              <w:jc w:val="center"/>
              <w:rPr>
                <w:b/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2. Контактная информация Организации – участника Конкурса</w:t>
            </w:r>
          </w:p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Телефон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vAlign w:val="center"/>
          </w:tcPr>
          <w:p w:rsidR="00EB0966" w:rsidRPr="00BD4EAF" w:rsidRDefault="00EB0966" w:rsidP="00EB0966">
            <w:pPr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3. Преимущества Организации в качестве уполномоченной организации</w:t>
            </w:r>
          </w:p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Описание опыта деятельности Организации</w:t>
            </w:r>
            <w:r w:rsidRPr="00BD4EAF">
              <w:rPr>
                <w:i/>
                <w:szCs w:val="24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1 500 знаков)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1 000 знаков)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1 000 знаков)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611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t>4. Презентация Проекта</w:t>
            </w:r>
          </w:p>
          <w:p w:rsidR="00EB0966" w:rsidRPr="00BD4EAF" w:rsidRDefault="00EB0966" w:rsidP="00EB0966">
            <w:pPr>
              <w:keepLines/>
              <w:suppressAutoHyphens/>
              <w:snapToGrid w:val="0"/>
              <w:rPr>
                <w:szCs w:val="24"/>
              </w:rPr>
            </w:pPr>
          </w:p>
        </w:tc>
      </w:tr>
      <w:tr w:rsidR="00EB0966" w:rsidRPr="00BD4EAF" w:rsidTr="00EB0966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113"/>
        </w:trPr>
        <w:tc>
          <w:tcPr>
            <w:tcW w:w="2481" w:type="dxa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1 500 знаков)</w:t>
            </w:r>
          </w:p>
        </w:tc>
      </w:tr>
      <w:tr w:rsidR="00EB0966" w:rsidRPr="00BD4EAF" w:rsidTr="00EB0966">
        <w:trPr>
          <w:trHeight w:val="113"/>
        </w:trPr>
        <w:tc>
          <w:tcPr>
            <w:tcW w:w="9924" w:type="dxa"/>
            <w:gridSpan w:val="4"/>
          </w:tcPr>
          <w:p w:rsidR="00EB0966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66" w:rsidRPr="00BD4EAF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мероприятий по реализации Проекта:</w:t>
            </w: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b/>
                <w:szCs w:val="24"/>
              </w:rPr>
              <w:t xml:space="preserve">Целевые показатели Проекта: 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Дети в возрасте от 5 до 18 лет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Число сертификатов дополнительного образования, обеспечиваемых за счет средств бюджета городского округа Зарайск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  <w:highlight w:val="yellow"/>
              </w:rPr>
            </w:pPr>
            <w:r w:rsidRPr="00BD4EAF">
              <w:rPr>
                <w:szCs w:val="24"/>
              </w:rPr>
              <w:t>_______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  <w:highlight w:val="yellow"/>
              </w:rPr>
            </w:pPr>
            <w:r w:rsidRPr="00BD4EAF">
              <w:rPr>
                <w:szCs w:val="24"/>
              </w:rPr>
              <w:t>_______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  <w:highlight w:val="yellow"/>
              </w:rPr>
            </w:pPr>
            <w:r w:rsidRPr="00BD4EAF">
              <w:rPr>
                <w:szCs w:val="24"/>
              </w:rPr>
              <w:t>_______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EB0966" w:rsidRPr="00BD4EAF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Сумма, рублей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b/>
                <w:szCs w:val="24"/>
              </w:rPr>
              <w:t>6. К заявке прилагаются следующие документы:</w:t>
            </w: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</w:tc>
      </w:tr>
    </w:tbl>
    <w:p w:rsidR="00EB0966" w:rsidRPr="00BD4EAF" w:rsidRDefault="00EB0966" w:rsidP="00EB0966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заявке и приложенных к ней документов на участие в Конкурсе на предоставление субсидий из бюджета городского округа Зарайск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году, подтверждаю.</w:t>
      </w:r>
    </w:p>
    <w:p w:rsidR="00EB0966" w:rsidRPr="00BD4EAF" w:rsidRDefault="00EB0966" w:rsidP="00EB0966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EB0966" w:rsidRDefault="00EB0966" w:rsidP="00EB0966">
      <w:pPr>
        <w:pStyle w:val="ConsPlusNonformat"/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:rsidR="00EB0966" w:rsidRDefault="00EB0966" w:rsidP="00EB0966">
      <w:pPr>
        <w:pStyle w:val="ConsPlusNonformat"/>
        <w:ind w:left="-426"/>
        <w:contextualSpacing/>
        <w:jc w:val="both"/>
        <w:rPr>
          <w:rFonts w:ascii="Times New Roman" w:hAnsi="Times New Roman" w:cs="Times New Roman"/>
        </w:rPr>
      </w:pPr>
      <w:r w:rsidRPr="00BD4EAF">
        <w:rPr>
          <w:rFonts w:ascii="Times New Roman" w:hAnsi="Times New Roman" w:cs="Times New Roman"/>
        </w:rPr>
        <w:t xml:space="preserve">                              </w:t>
      </w:r>
      <w:r w:rsidRPr="00BD4EA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</w:t>
      </w:r>
      <w:r w:rsidRPr="00BD4EAF">
        <w:rPr>
          <w:rFonts w:ascii="Times New Roman" w:hAnsi="Times New Roman" w:cs="Times New Roman"/>
          <w:i/>
        </w:rPr>
        <w:t xml:space="preserve"> (подпись</w:t>
      </w:r>
      <w:r>
        <w:rPr>
          <w:rFonts w:ascii="Times New Roman" w:hAnsi="Times New Roman" w:cs="Times New Roman"/>
          <w:i/>
        </w:rPr>
        <w:t>)</w:t>
      </w:r>
      <w:r w:rsidRPr="00BD4EAF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BD4EAF">
        <w:rPr>
          <w:rFonts w:ascii="Times New Roman" w:hAnsi="Times New Roman" w:cs="Times New Roman"/>
          <w:i/>
        </w:rPr>
        <w:t xml:space="preserve"> (ф.и.о.)</w:t>
      </w:r>
      <w:r>
        <w:rPr>
          <w:rFonts w:ascii="Times New Roman" w:hAnsi="Times New Roman" w:cs="Times New Roman"/>
        </w:rPr>
        <w:t xml:space="preserve"> </w:t>
      </w:r>
    </w:p>
    <w:p w:rsidR="00EB0966" w:rsidRPr="00BD4EAF" w:rsidRDefault="00EB0966" w:rsidP="00EB0966">
      <w:pPr>
        <w:pStyle w:val="ConsPlusNonformat"/>
        <w:spacing w:line="360" w:lineRule="auto"/>
        <w:ind w:lef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BD4EAF">
        <w:rPr>
          <w:rFonts w:ascii="Times New Roman" w:hAnsi="Times New Roman" w:cs="Times New Roman"/>
        </w:rPr>
        <w:t>М. П.</w:t>
      </w:r>
    </w:p>
    <w:p w:rsidR="00EB0966" w:rsidRDefault="00EB0966" w:rsidP="00EB0966">
      <w:pPr>
        <w:jc w:val="center"/>
        <w:rPr>
          <w:b/>
          <w:smallCaps/>
          <w:szCs w:val="24"/>
        </w:rPr>
      </w:pPr>
    </w:p>
    <w:p w:rsidR="00EB0966" w:rsidRDefault="00EB0966" w:rsidP="00EB0966">
      <w:pPr>
        <w:jc w:val="center"/>
        <w:rPr>
          <w:b/>
          <w:smallCaps/>
          <w:szCs w:val="24"/>
        </w:rPr>
      </w:pPr>
    </w:p>
    <w:p w:rsidR="00EB0966" w:rsidRPr="00BD4EAF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 xml:space="preserve">Образец текста гарантийного письма </w:t>
      </w:r>
    </w:p>
    <w:p w:rsidR="00EB0966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 xml:space="preserve">о готовности выполнения функций муниципальной уполномоченной организации в соответствии </w:t>
      </w:r>
    </w:p>
    <w:p w:rsidR="00EB0966" w:rsidRPr="00BD4EAF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>с Правилами персонифицированного финансирования</w:t>
      </w:r>
    </w:p>
    <w:p w:rsidR="00EB0966" w:rsidRDefault="00EB0966" w:rsidP="00EB0966">
      <w:pPr>
        <w:rPr>
          <w:smallCaps/>
          <w:szCs w:val="24"/>
        </w:rPr>
      </w:pPr>
    </w:p>
    <w:p w:rsidR="00EB0966" w:rsidRPr="00BD4EAF" w:rsidRDefault="00EB0966" w:rsidP="00EB0966">
      <w:pPr>
        <w:rPr>
          <w:smallCaps/>
          <w:szCs w:val="24"/>
        </w:rPr>
      </w:pPr>
    </w:p>
    <w:p w:rsidR="00EB0966" w:rsidRPr="00BD4EAF" w:rsidRDefault="00EB0966" w:rsidP="00EB0966">
      <w:pPr>
        <w:jc w:val="both"/>
        <w:rPr>
          <w:szCs w:val="24"/>
        </w:rPr>
      </w:pPr>
      <w:r w:rsidRPr="00BD4EAF">
        <w:rPr>
          <w:szCs w:val="24"/>
        </w:rPr>
        <w:t>_______наименование организации________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 с положениями, изложенными в Заявке.</w:t>
      </w:r>
    </w:p>
    <w:p w:rsidR="00EB0966" w:rsidRPr="00BD4EAF" w:rsidRDefault="00EB0966" w:rsidP="00EB0966">
      <w:pPr>
        <w:spacing w:line="360" w:lineRule="auto"/>
        <w:jc w:val="both"/>
        <w:rPr>
          <w:szCs w:val="24"/>
        </w:rPr>
      </w:pPr>
    </w:p>
    <w:p w:rsidR="00EB0966" w:rsidRPr="004256C3" w:rsidRDefault="00EB0966" w:rsidP="00EB09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EAF">
        <w:rPr>
          <w:rFonts w:ascii="Times New Roman" w:hAnsi="Times New Roman" w:cs="Times New Roman"/>
          <w:sz w:val="24"/>
          <w:szCs w:val="24"/>
        </w:rPr>
        <w:t>Руководитель ________________   ______________________ "__"</w:t>
      </w:r>
      <w:r w:rsidRPr="004256C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EB0966" w:rsidRPr="00BD4EAF" w:rsidRDefault="00EB0966" w:rsidP="00EB0966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  <w:r w:rsidRPr="004256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6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4EAF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BD4EAF">
        <w:rPr>
          <w:rFonts w:ascii="Times New Roman" w:hAnsi="Times New Roman" w:cs="Times New Roman"/>
          <w:i/>
        </w:rPr>
        <w:t xml:space="preserve">  (ф.и.о.)</w:t>
      </w:r>
    </w:p>
    <w:p w:rsidR="00EB0966" w:rsidRPr="00BD4EAF" w:rsidRDefault="00EB0966" w:rsidP="00EB096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D4EA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 w:rsidRPr="00BD4EAF">
        <w:rPr>
          <w:rFonts w:ascii="Times New Roman" w:hAnsi="Times New Roman" w:cs="Times New Roman"/>
        </w:rPr>
        <w:t xml:space="preserve"> М. П.</w:t>
      </w:r>
    </w:p>
    <w:p w:rsidR="00EB0966" w:rsidRPr="00BD4EAF" w:rsidRDefault="00EB0966" w:rsidP="00EB0966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B0966" w:rsidRPr="004256C3" w:rsidRDefault="00EB0966" w:rsidP="00EB0966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B0966" w:rsidRPr="004256C3" w:rsidRDefault="00EB0966" w:rsidP="00EB0966">
      <w:pPr>
        <w:spacing w:line="360" w:lineRule="auto"/>
        <w:jc w:val="both"/>
        <w:rPr>
          <w:sz w:val="28"/>
          <w:szCs w:val="28"/>
        </w:rPr>
      </w:pPr>
    </w:p>
    <w:p w:rsidR="00EB0966" w:rsidRPr="004256C3" w:rsidRDefault="00EB0966" w:rsidP="00EB0966">
      <w:pPr>
        <w:spacing w:line="360" w:lineRule="auto"/>
        <w:rPr>
          <w:sz w:val="28"/>
          <w:szCs w:val="28"/>
        </w:rPr>
      </w:pPr>
      <w:r w:rsidRPr="004256C3">
        <w:rPr>
          <w:sz w:val="28"/>
          <w:szCs w:val="28"/>
        </w:rPr>
        <w:br w:type="page"/>
      </w:r>
    </w:p>
    <w:p w:rsidR="00EB0966" w:rsidRPr="00BD4EAF" w:rsidRDefault="00EB0966" w:rsidP="00EB0966">
      <w:pPr>
        <w:ind w:left="5529"/>
        <w:jc w:val="right"/>
        <w:rPr>
          <w:sz w:val="20"/>
        </w:rPr>
      </w:pPr>
      <w:r w:rsidRPr="00BD4EAF">
        <w:rPr>
          <w:sz w:val="20"/>
        </w:rPr>
        <w:lastRenderedPageBreak/>
        <w:t xml:space="preserve">Приложение 2 </w:t>
      </w:r>
    </w:p>
    <w:p w:rsidR="00EB0966" w:rsidRPr="00BD4EAF" w:rsidRDefault="00EB0966" w:rsidP="00EB0966">
      <w:pPr>
        <w:ind w:left="5529"/>
        <w:jc w:val="right"/>
        <w:rPr>
          <w:sz w:val="20"/>
        </w:rPr>
      </w:pPr>
      <w:r w:rsidRPr="00BD4EAF">
        <w:rPr>
          <w:sz w:val="20"/>
        </w:rPr>
        <w:t>к объявлению о проведении конкурса</w:t>
      </w:r>
    </w:p>
    <w:p w:rsidR="00EB0966" w:rsidRPr="00BD4EAF" w:rsidRDefault="00EB0966" w:rsidP="00EB0966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EB0966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КРИТЕРИИ</w:t>
      </w: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Порядок оценки критерия и соответствующее ему количество баллов*</w:t>
            </w: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EB0966" w:rsidRPr="00BD4EAF" w:rsidRDefault="00EB0966" w:rsidP="00EB0966">
            <w:pPr>
              <w:ind w:left="709"/>
              <w:jc w:val="both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EB0966" w:rsidRPr="00BD4EAF" w:rsidRDefault="00EB0966" w:rsidP="00EB0966">
            <w:pPr>
              <w:rPr>
                <w:b/>
                <w:bCs/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(3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(2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в штате экспертов, имеющих сертификат Рособрнадзора (5 баллов)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в штате лиц, имеющих опыт организации и проведения мониторингов и прикладных социологических исследований (3 балла);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 xml:space="preserve">Организация не имеет в штате сертифицированных экспертов; специалистов, имеющих опыт организации и проведения </w:t>
            </w:r>
            <w:r w:rsidRPr="00BD4EAF">
              <w:rPr>
                <w:szCs w:val="24"/>
              </w:rPr>
              <w:lastRenderedPageBreak/>
              <w:t>мониторингов и прикладных социологических исследований (0 баллов);</w:t>
            </w: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программные средства и необходимую для реализации Проекта оргтехнику, аттестованные (сертифицированные) для работы с персональными данными (5 баллов);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Наличие у Организации необходимой оргтехники не подтверждено (0 баллов).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Проведение экспертиз образовательных учреждений (5 баллов);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Проведение правовых экспертиз социальных и образовательных проектов (3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Проведения мероприятий всероссийского и регионального уровней</w:t>
            </w:r>
            <w:r w:rsidRPr="00BD4EAF" w:rsidDel="00AA370A">
              <w:rPr>
                <w:szCs w:val="24"/>
              </w:rPr>
              <w:t xml:space="preserve"> </w:t>
            </w:r>
            <w:r w:rsidRPr="00BD4EAF">
              <w:rPr>
                <w:szCs w:val="24"/>
              </w:rPr>
              <w:t>(1 балл);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Отсутствие подтверждения экспертной деятельности (0 баллов)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</w:p>
        </w:tc>
      </w:tr>
    </w:tbl>
    <w:p w:rsidR="00EB0966" w:rsidRPr="00BD4EAF" w:rsidRDefault="00EB0966" w:rsidP="00EB0966">
      <w:pPr>
        <w:rPr>
          <w:szCs w:val="24"/>
        </w:rPr>
      </w:pPr>
    </w:p>
    <w:p w:rsidR="00EB0966" w:rsidRPr="00BD4EAF" w:rsidRDefault="00EB0966" w:rsidP="00EB0966">
      <w:pPr>
        <w:jc w:val="both"/>
        <w:rPr>
          <w:szCs w:val="24"/>
        </w:rPr>
      </w:pPr>
      <w:r w:rsidRPr="00BD4EAF">
        <w:rPr>
          <w:szCs w:val="24"/>
        </w:rPr>
        <w:t>* - по Критериям №3 и №5 допускается суммирование баллов индикаторов, полностью соответствующих организации и подтверждённых документально (максимально возможное количество баллов – 8 и 9 баллов соответственно). Максимально возможное суммарное количество баллов по всем критериям – 30 баллов.</w:t>
      </w:r>
    </w:p>
    <w:p w:rsidR="00EB0966" w:rsidRPr="004256C3" w:rsidRDefault="00EB0966" w:rsidP="00EB0966">
      <w:pPr>
        <w:spacing w:line="360" w:lineRule="auto"/>
        <w:ind w:left="5529"/>
        <w:jc w:val="center"/>
        <w:rPr>
          <w:sz w:val="28"/>
          <w:szCs w:val="28"/>
        </w:rPr>
      </w:pPr>
      <w:r w:rsidRPr="004256C3">
        <w:rPr>
          <w:sz w:val="28"/>
          <w:szCs w:val="28"/>
        </w:rPr>
        <w:br w:type="page"/>
      </w:r>
    </w:p>
    <w:p w:rsidR="00EB0966" w:rsidRPr="00BD4EAF" w:rsidRDefault="00EB0966" w:rsidP="00EB0966">
      <w:pPr>
        <w:spacing w:line="360" w:lineRule="auto"/>
        <w:ind w:left="5529"/>
        <w:jc w:val="right"/>
        <w:rPr>
          <w:sz w:val="20"/>
        </w:rPr>
      </w:pPr>
      <w:bookmarkStart w:id="2" w:name="Par203"/>
      <w:bookmarkEnd w:id="2"/>
      <w:r w:rsidRPr="00BD4EAF">
        <w:rPr>
          <w:sz w:val="20"/>
        </w:rPr>
        <w:lastRenderedPageBreak/>
        <w:t xml:space="preserve">Приложение 3 </w:t>
      </w:r>
    </w:p>
    <w:p w:rsidR="00EB0966" w:rsidRPr="00BD4EAF" w:rsidRDefault="00EB0966" w:rsidP="00EB0966">
      <w:pPr>
        <w:spacing w:line="360" w:lineRule="auto"/>
        <w:ind w:left="5529"/>
        <w:jc w:val="right"/>
        <w:rPr>
          <w:sz w:val="20"/>
        </w:rPr>
      </w:pPr>
      <w:r w:rsidRPr="00BD4EAF">
        <w:rPr>
          <w:sz w:val="20"/>
        </w:rPr>
        <w:t>к объявлению о проведении конкурса</w:t>
      </w:r>
    </w:p>
    <w:p w:rsidR="00EB0966" w:rsidRPr="004256C3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о предоставлении в ____ году субсидии</w:t>
      </w: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из бюджета городского округа Зарайск Московской области</w:t>
      </w: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(наименование организации)</w:t>
      </w: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</w:t>
      </w:r>
    </w:p>
    <w:p w:rsidR="00EB0966" w:rsidRPr="00BD4EAF" w:rsidRDefault="00EB0966" w:rsidP="00EB0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г.о.Зарайск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4EAF">
        <w:rPr>
          <w:rFonts w:ascii="Times New Roman" w:hAnsi="Times New Roman" w:cs="Times New Roman"/>
          <w:sz w:val="24"/>
          <w:szCs w:val="24"/>
        </w:rPr>
        <w:t xml:space="preserve">                  "__" _____________ 20__ г.</w:t>
      </w:r>
    </w:p>
    <w:p w:rsidR="00EB0966" w:rsidRPr="00BD4EAF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Зарайск Московской области</w:t>
      </w:r>
      <w:r w:rsidRPr="00951390">
        <w:rPr>
          <w:rFonts w:ascii="Times New Roman" w:hAnsi="Times New Roman" w:cs="Times New Roman"/>
          <w:i/>
          <w:sz w:val="24"/>
          <w:szCs w:val="24"/>
        </w:rPr>
        <w:t>,</w:t>
      </w:r>
      <w:r w:rsidRPr="00951390">
        <w:rPr>
          <w:rFonts w:ascii="Times New Roman" w:hAnsi="Times New Roman" w:cs="Times New Roman"/>
          <w:sz w:val="24"/>
          <w:szCs w:val="24"/>
        </w:rPr>
        <w:t xml:space="preserve"> именуемое в дальнейшем «Уполномоченный орган» в лице начальника управления образования администрации городского округа Зарайск Московской области Комма В.Б., действующего на основании Положения, с одной стороны, и _______________________________________________________, именуемое в дальнейшем "Уполномоченная организация", в лице _____________________________________________________, действующего на основании _____________,с другой стороны,  именуемые  в  дальнейшем  "Стороны",  в  соответствии с Бюджетным кодексом Российской Федерации, решением  Совета депутатов городского округа Зарайск от 10 июня 2019 № 41/1 «О внесении изменений в решение Совета депутатов городского округа Зарайск Московской области от 13.12.2018 г. № 33/1 «О бюджете городского округа Зарайск Московской области на 2019 год и на плановый период 2020 и 2021 годов», Порядком предоставления субсидии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Проект), утвержденным постановлением Главы городского округа Зарайск от 28 июня 2019 № 988/6 (далее – Положение), Правилами персонифицированного финансирования дополнительного образования детей в городском округе Зарайск, утвержденными постановлением Главы городского округа Зарайск Московской области от 05 июня 2019 года № 846/6 (далее – Правила персонифицированного финансирования) заключили настоящее Соглашение о нижеследующем.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951390" w:rsidRDefault="00EB0966" w:rsidP="00EB0966">
      <w:pPr>
        <w:pStyle w:val="ConsPlusNonformat"/>
        <w:numPr>
          <w:ilvl w:val="1"/>
          <w:numId w:val="18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Уполномоченной организации из бюджета городского округа Зарайск Московской области  в 2019 году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Уполномоченной организации (далее – Проект), в связи с участием в системе персонифицированного финансирования дополнительного образования детей в качестве уполномоченной организации, в рамках основного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«Образование городского округа Зарайск Московской области» на 2018-2022  годы (далее - Субсидия).</w:t>
      </w:r>
    </w:p>
    <w:p w:rsidR="00EB0966" w:rsidRPr="00951390" w:rsidRDefault="00EB0966" w:rsidP="00EB0966">
      <w:pPr>
        <w:pStyle w:val="ConsPlusNonformat"/>
        <w:numPr>
          <w:ilvl w:val="1"/>
          <w:numId w:val="18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Уполномоченному органу как получателю средств бюджета городского округа Зарайск Московской области на цели, указанные в пункте настоящего Соглашения, по коду классификации расходов бюджетов Российской Федерации _____________________, в размере не более </w:t>
      </w:r>
      <w:r w:rsidRPr="00951390">
        <w:rPr>
          <w:rFonts w:ascii="Times New Roman" w:hAnsi="Times New Roman" w:cs="Times New Roman"/>
          <w:iCs/>
          <w:sz w:val="24"/>
          <w:szCs w:val="24"/>
        </w:rPr>
        <w:t xml:space="preserve"> _____________ (прописью) рублей 00 копеек.</w:t>
      </w:r>
    </w:p>
    <w:p w:rsidR="00EB0966" w:rsidRPr="00951390" w:rsidRDefault="00EB0966" w:rsidP="00EB0966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951390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390">
        <w:rPr>
          <w:rFonts w:ascii="Times New Roman" w:hAnsi="Times New Roman" w:cs="Times New Roman"/>
          <w:b/>
          <w:sz w:val="24"/>
          <w:szCs w:val="24"/>
        </w:rPr>
        <w:lastRenderedPageBreak/>
        <w:t>УСЛОВИЯ И ПОРЯДОК ПРЕДОСТАВЛЕНИЯ СУБСИДИИ</w:t>
      </w:r>
    </w:p>
    <w:p w:rsidR="00EB0966" w:rsidRPr="00BD4EAF" w:rsidRDefault="00EB0966" w:rsidP="00EB0966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widowControl w:val="0"/>
        <w:numPr>
          <w:ilvl w:val="1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szCs w:val="24"/>
        </w:rPr>
      </w:pPr>
      <w:r w:rsidRPr="00BD4EAF">
        <w:rPr>
          <w:color w:val="000000"/>
          <w:szCs w:val="24"/>
          <w:lang w:bidi="ru-RU"/>
        </w:rPr>
        <w:t>Субсидия предоставляется в целях обеспечения следующих затрат Уполномоченной организации, возникающих при реализации Проекта: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szCs w:val="24"/>
        </w:rPr>
      </w:pPr>
      <w:r w:rsidRPr="00BD4EAF">
        <w:rPr>
          <w:color w:val="000000"/>
          <w:szCs w:val="24"/>
          <w:lang w:bidi="ru-RU"/>
        </w:rPr>
        <w:t>Оплата услуг, предоставляемых детям с использованием сертификатов дополнительного образования, выданных в городском округе Зарайск</w:t>
      </w:r>
      <w:r>
        <w:rPr>
          <w:color w:val="000000"/>
          <w:szCs w:val="24"/>
          <w:lang w:bidi="ru-RU"/>
        </w:rPr>
        <w:t xml:space="preserve"> Московской области</w:t>
      </w:r>
      <w:r w:rsidRPr="00BD4EAF">
        <w:rPr>
          <w:color w:val="000000"/>
          <w:szCs w:val="24"/>
          <w:lang w:bidi="ru-RU"/>
        </w:rPr>
        <w:t xml:space="preserve"> (далее – сертификат</w:t>
      </w:r>
      <w:r>
        <w:rPr>
          <w:color w:val="000000"/>
          <w:szCs w:val="24"/>
          <w:lang w:bidi="ru-RU"/>
        </w:rPr>
        <w:t xml:space="preserve"> </w:t>
      </w:r>
      <w:r w:rsidRPr="00BD4EAF">
        <w:rPr>
          <w:color w:val="000000"/>
          <w:szCs w:val="24"/>
          <w:lang w:bidi="ru-RU"/>
        </w:rPr>
        <w:t xml:space="preserve">дополнительного образования), в соответствии с заключаемыми Уполномоченной организацией договорами об оплате дополнительного образования с организациями (поставщиками), осуществляющими образовательную деятельность по реализации дополнительных общеобразовательных программ, включенными в </w:t>
      </w:r>
      <w:r w:rsidRPr="008D1D26">
        <w:rPr>
          <w:color w:val="000000"/>
          <w:szCs w:val="24"/>
          <w:lang w:bidi="ru-RU"/>
        </w:rPr>
        <w:t>реестр поставщиков образовательных услуг системы персонифицированного финансирования дополнительного образования детей Московской области (далее – договор об оплате</w:t>
      </w:r>
      <w:r w:rsidRPr="00BD4EAF">
        <w:rPr>
          <w:color w:val="000000"/>
          <w:szCs w:val="24"/>
          <w:lang w:bidi="ru-RU"/>
        </w:rPr>
        <w:t xml:space="preserve"> дополнительного образования; поставщики образовательных услуг);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выплата начислений на оплату труда специалистов;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расходы на банковское обслуживание;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арендные платежи;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приобретение расходных материалов, используемых при реализации Проекта.</w:t>
      </w:r>
    </w:p>
    <w:p w:rsidR="00EB0966" w:rsidRPr="00BD4EAF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Совокупный объем затрат Уполномоченной организации, осуществляемых по направлениям, указанным в пунктах</w:t>
      </w:r>
      <w:r>
        <w:rPr>
          <w:rFonts w:ascii="Times New Roman" w:hAnsi="Times New Roman" w:cs="Times New Roman"/>
          <w:sz w:val="24"/>
          <w:szCs w:val="24"/>
        </w:rPr>
        <w:t xml:space="preserve"> 2.1.2 - 2.1.7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</w:t>
      </w:r>
      <w:r w:rsidRPr="008D1D26">
        <w:rPr>
          <w:rFonts w:ascii="Times New Roman" w:hAnsi="Times New Roman" w:cs="Times New Roman"/>
          <w:iCs/>
          <w:sz w:val="24"/>
          <w:szCs w:val="24"/>
        </w:rPr>
        <w:t>____________ (прописью) рублей 00 копеек</w:t>
      </w:r>
      <w:r w:rsidRPr="008D1D26">
        <w:rPr>
          <w:rFonts w:ascii="Times New Roman" w:hAnsi="Times New Roman" w:cs="Times New Roman"/>
          <w:sz w:val="24"/>
          <w:szCs w:val="24"/>
        </w:rPr>
        <w:t xml:space="preserve"> и в структуре подлежащих обеспечению затрат не может превышать 0,7 процента от совокупных затрат Уполномоченной организации</w:t>
      </w:r>
      <w:r w:rsidRPr="00BD4EAF">
        <w:rPr>
          <w:rFonts w:ascii="Times New Roman" w:hAnsi="Times New Roman" w:cs="Times New Roman"/>
          <w:sz w:val="24"/>
          <w:szCs w:val="24"/>
        </w:rPr>
        <w:t>, подлежащих обеспечению за счет субсидии.</w:t>
      </w:r>
    </w:p>
    <w:p w:rsidR="00EB0966" w:rsidRPr="00BD4EAF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наличие в бюджете городского округа Зарайск</w:t>
      </w:r>
      <w:r>
        <w:rPr>
          <w:color w:val="000000"/>
          <w:szCs w:val="24"/>
          <w:lang w:bidi="ru-RU"/>
        </w:rPr>
        <w:t xml:space="preserve"> Московской области </w:t>
      </w:r>
      <w:r w:rsidRPr="00BD4EAF">
        <w:rPr>
          <w:color w:val="000000"/>
          <w:szCs w:val="24"/>
          <w:lang w:bidi="ru-RU"/>
        </w:rPr>
        <w:t xml:space="preserve"> бюджетных ассигнований на финансирование расходов по обеспечению затрат Уполномоченной организации, связанных с реализацией Проекта;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использование субсиди</w:t>
      </w:r>
      <w:r>
        <w:rPr>
          <w:color w:val="000000"/>
          <w:szCs w:val="24"/>
          <w:lang w:bidi="ru-RU"/>
        </w:rPr>
        <w:t xml:space="preserve">и на цели, определенные пунктом 2.1 </w:t>
      </w:r>
      <w:r w:rsidRPr="00BD4EAF">
        <w:rPr>
          <w:color w:val="000000"/>
          <w:szCs w:val="24"/>
          <w:lang w:bidi="ru-RU"/>
        </w:rPr>
        <w:t>настоящего Соглашения;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Уполномоченная организация не находится в процессе реорганизации, ликвидации, банкротства.</w:t>
      </w:r>
    </w:p>
    <w:p w:rsidR="00EB0966" w:rsidRPr="00BD4EAF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Обеспечение затрат, возникающих при осуществлении оплат образовательных услуг, предоставляемых детям с использованием сертификатов дополнительного образования, выданных в городском округе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D4EAF">
        <w:rPr>
          <w:rFonts w:ascii="Times New Roman" w:hAnsi="Times New Roman" w:cs="Times New Roman"/>
          <w:sz w:val="24"/>
          <w:szCs w:val="24"/>
        </w:rPr>
        <w:t>, осуществляется при условии соблюдения Уполномоченной организацией требований Правил персонифицированного финансирования.</w:t>
      </w:r>
    </w:p>
    <w:p w:rsidR="00EB0966" w:rsidRPr="00012E10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10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организации, открытый в территориальных органах Федерального казначейства, на основании заявок на перечисление субсидии, оформляемых в соответствии с Приложением 1, не позднее 3-го рабочего дня, следующего за днем представления Уполномоченной организацией заявки на перечисление субсидии</w:t>
      </w:r>
      <w:r w:rsidRPr="00012E10">
        <w:rPr>
          <w:rFonts w:ascii="Times New Roman" w:hAnsi="Times New Roman" w:cs="Times New Roman"/>
          <w:sz w:val="28"/>
          <w:szCs w:val="28"/>
        </w:rPr>
        <w:t>.</w:t>
      </w:r>
    </w:p>
    <w:p w:rsidR="00EB0966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Использование Уполномоченной организацией средств субсидии на обеспечение затрат, не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</w:t>
      </w:r>
      <w:r>
        <w:rPr>
          <w:rFonts w:ascii="Times New Roman" w:hAnsi="Times New Roman" w:cs="Times New Roman"/>
          <w:sz w:val="24"/>
          <w:szCs w:val="24"/>
        </w:rPr>
        <w:t xml:space="preserve"> 2.1.2 – 2.1.7 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</w:t>
      </w: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BD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4EAF">
        <w:rPr>
          <w:rFonts w:ascii="Times New Roman" w:hAnsi="Times New Roman" w:cs="Times New Roman"/>
          <w:sz w:val="24"/>
          <w:szCs w:val="24"/>
        </w:rPr>
        <w:t xml:space="preserve">астоящего Соглашения, не допускается. </w:t>
      </w:r>
    </w:p>
    <w:p w:rsidR="00EB0966" w:rsidRPr="00BD4EAF" w:rsidRDefault="00EB0966" w:rsidP="00EB0966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EB0966" w:rsidRPr="00BD4EAF" w:rsidRDefault="00EB0966" w:rsidP="00EB09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Обеспечить предоставление Уполномоченной организации Субсидии в соответствии с настоящим Соглашением.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lastRenderedPageBreak/>
        <w:t>Осуществлять проверку представляемых Уполномоченной организацией заявок на перечисление субсидии,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 2 рабочих дней со дня их получения от Уполномоченной организации.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Уполномоченной организации, указанный в разделе настоящего Соглашения,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контроль за исполнением Уполномоченной организацией условий 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случае, если Уполномоченной организацией допущены нарушения условий и обязательств, предусмотренных настоящим соглашением, и/или фактов нарушения требований Правил персонифицированного финансирования, направлять Уполномоченной организации требование об обеспечении возврата средств Субсидий в бюджет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BD4EAF">
        <w:rPr>
          <w:rFonts w:ascii="Times New Roman" w:hAnsi="Times New Roman" w:cs="Times New Roman"/>
          <w:sz w:val="24"/>
          <w:szCs w:val="24"/>
        </w:rPr>
        <w:t>в течение 10-ти дней.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 и настоящим Соглашением.</w:t>
      </w: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Уполномоченный орган вправе: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BD4EAF">
        <w:rPr>
          <w:rFonts w:ascii="Times New Roman" w:hAnsi="Times New Roman" w:cs="Times New Roman"/>
          <w:sz w:val="24"/>
          <w:szCs w:val="24"/>
        </w:rPr>
        <w:t xml:space="preserve">настоящего Соглашения, в том числе на основании информации и предложений, направленных Уполномоченной организацией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3.4.2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включая изменение размера Субсидии.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Уполномоченным органом факта(ов) нарушения Уполномоченной организацией Правил персонифицированного финансирования, порядка, целей и условий предоставления Субсидии, предусмотренных настоящим Соглашением, в том числе указания в заявках на перечисление субсидии, представленных Уполномоченной организацией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Уполномоченной организации не позднее 2-го рабочего дня с даты принятия решения о приостановлении предоставления Субсидии.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Запрашивать у Уполномоченной организации документы и информацию, необходимые для осуществления контроля за соблюдением Уполномоченной организацией порядка, целей и условий предоставления Субсидии, установленных настоящим Соглашением.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Уполномоченная организация обязана: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Ежемесячно представлять в Уполномоченный орган заявки на перечисление Субсидии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Московской области, в случае наличия запроса со стороны поставщиков образовательных услуг.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платежи, предусмотренные пунктом</w:t>
      </w:r>
      <w:r>
        <w:rPr>
          <w:rFonts w:ascii="Times New Roman" w:hAnsi="Times New Roman" w:cs="Times New Roman"/>
          <w:sz w:val="24"/>
          <w:szCs w:val="24"/>
        </w:rPr>
        <w:t xml:space="preserve"> 2.1.1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образования детей, которым предоставлены сертификаты дополнительного образования.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Уполномоченного органа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Ежемесячно представлять Уполномоченному органу подписанную в установленном </w:t>
      </w:r>
      <w:r w:rsidRPr="00BD4EAF">
        <w:rPr>
          <w:rFonts w:ascii="Times New Roman" w:hAnsi="Times New Roman" w:cs="Times New Roman"/>
          <w:sz w:val="24"/>
          <w:szCs w:val="24"/>
        </w:rPr>
        <w:lastRenderedPageBreak/>
        <w:t>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месяцем.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Направлять Субсидию на финансовое обеспечение затрат, определенных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3.1.4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 получения от Уполномоченного органа требования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3.1.5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возвращать в бюджет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BD4EAF">
        <w:rPr>
          <w:rFonts w:ascii="Times New Roman" w:hAnsi="Times New Roman" w:cs="Times New Roman"/>
          <w:sz w:val="24"/>
          <w:szCs w:val="24"/>
        </w:rPr>
        <w:t xml:space="preserve">  Субсидию в размере и в сроки, определенные в указанном требовании.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Предоставлять Уполномоченному органу сведения: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 возбуждении в отношении Уполномоченной организации производства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Уполномоченной организации стало известно о возбуждении в отношении него производства по указанным обстоятельствам;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решения;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 изменении реквизитов Уполномоченной организации, обеспечив в течение 5-ти рабочих дней заключение дополнительного соглашения к настоящему Соглашению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Уполномоченному органу в соответствии с настоящим Соглашением.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Российской.</w:t>
      </w: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Уполномоченная организация вправе: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Обращаться в Уполномоченный орган за разъяснениями по вопросам исполнения 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Направлять в Уполномоченный орган предложения о внесении изменений в настоящее Соглашение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6.3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Федерации.</w:t>
      </w:r>
    </w:p>
    <w:p w:rsidR="00EB0966" w:rsidRPr="00BD4EAF" w:rsidRDefault="00EB0966" w:rsidP="00EB0966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B0966" w:rsidRPr="00BD4EAF" w:rsidRDefault="00EB0966" w:rsidP="00EB0966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B0966" w:rsidRPr="00BD4EAF" w:rsidRDefault="00EB0966" w:rsidP="00EB0966">
      <w:pPr>
        <w:pStyle w:val="a9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ОСНОВАНИЯ И ПОРЯДОК ПРИОСТАНОВЛЕНИЯ (СОКРАЩЕНИЯ)</w:t>
      </w:r>
    </w:p>
    <w:p w:rsidR="00EB0966" w:rsidRPr="00BD4EAF" w:rsidRDefault="00EB0966" w:rsidP="00EB0966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ПЕРЕЧИСЛЕНИЯ И ВЗЫСКАНИЯ СУБСИДИИ</w:t>
      </w:r>
    </w:p>
    <w:p w:rsidR="00EB0966" w:rsidRPr="00BD4EAF" w:rsidRDefault="00EB0966" w:rsidP="00EB0966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Уполномоченная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 в сроки, установленные Соглашением.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бюджетных средств, средства в размере </w:t>
      </w:r>
      <w:r w:rsidRPr="00BD4EAF">
        <w:rPr>
          <w:rFonts w:ascii="Times New Roman" w:hAnsi="Times New Roman" w:cs="Times New Roman"/>
          <w:sz w:val="24"/>
          <w:szCs w:val="24"/>
        </w:rPr>
        <w:lastRenderedPageBreak/>
        <w:t>предоставленной Субсидии перечисляются в местный бюджет в порядке, предусмотренном бюджетным законодательством Российской Федерации.</w:t>
      </w: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Уполномоченная организация перечисляет средства в размере неиспользованной субсидии в доход местного бюджета в порядке, предусмотренном бюджетным законодательством Российской Федерации.</w:t>
      </w: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</w:t>
      </w:r>
      <w:r>
        <w:rPr>
          <w:rFonts w:ascii="Times New Roman" w:hAnsi="Times New Roman" w:cs="Times New Roman"/>
          <w:sz w:val="24"/>
          <w:szCs w:val="24"/>
        </w:rPr>
        <w:t>тся Уполномоченным органом и финансовым управлением администрации городского округа Зарайск Московской области</w:t>
      </w:r>
      <w:r w:rsidRPr="00BD4EAF">
        <w:rPr>
          <w:rFonts w:ascii="Times New Roman" w:hAnsi="Times New Roman" w:cs="Times New Roman"/>
          <w:sz w:val="24"/>
          <w:szCs w:val="24"/>
        </w:rPr>
        <w:t>.</w:t>
      </w:r>
    </w:p>
    <w:p w:rsidR="00EB0966" w:rsidRDefault="00EB0966" w:rsidP="00EB096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AF">
        <w:rPr>
          <w:rFonts w:ascii="Times New Roman" w:hAnsi="Times New Roman" w:cs="Times New Roman"/>
          <w:sz w:val="24"/>
          <w:szCs w:val="24"/>
        </w:rPr>
        <w:t xml:space="preserve">но не ранее доведения лимитов бюджетных обязательств,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 и действует до полного исполнения Сторонами своих обязательств по настоящему Соглашению.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B0966" w:rsidRPr="008F3EED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в одностороннем порядке в части объемов предоставляемой субсидии возможно в случае уменьшения/увеличения Уполномоченному органу ранее доведенных лимитов бюджетных обязательств на предоставление субсидии в целях реализации, мероприятий «Обеспечение функционирования модели </w:t>
      </w:r>
      <w:r w:rsidRPr="008F3EED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детей» муниципальной программы «Образование городского округа Зарайск Московской области» на 2018 - 2022 гг.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Уполномоченным органом в одностороннем порядке возможно в случае:</w:t>
      </w:r>
    </w:p>
    <w:p w:rsidR="00EB0966" w:rsidRPr="00BD4EAF" w:rsidRDefault="00EB0966" w:rsidP="00EB0966">
      <w:pPr>
        <w:pStyle w:val="ConsPlusNormal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Уполномоченной организации;</w:t>
      </w:r>
    </w:p>
    <w:p w:rsidR="00EB0966" w:rsidRPr="00BD4EAF" w:rsidRDefault="00EB0966" w:rsidP="00EB0966">
      <w:pPr>
        <w:pStyle w:val="ConsPlusNormal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нарушения Уполномоченной организацией порядка, целей и условий предоставления Субсидии, установленных настоящим Соглашением;</w:t>
      </w:r>
    </w:p>
    <w:p w:rsidR="00EB0966" w:rsidRPr="00BD4EAF" w:rsidRDefault="00EB0966" w:rsidP="00EB0966">
      <w:pPr>
        <w:pStyle w:val="ConsPlusNormal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нарушения Уполномоченной организацией требований 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Уполномоченной организацией в одностороннем порядке не допускается.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EB0966" w:rsidRPr="00BD4EAF" w:rsidRDefault="00EB0966" w:rsidP="00EB0966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EB0966" w:rsidRPr="00BD4EAF" w:rsidRDefault="00EB0966" w:rsidP="00EB0966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Приложение 2. Форма отчета о расходовании субсидии.</w:t>
      </w: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4762"/>
      </w:tblGrid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tabs>
                <w:tab w:val="left" w:pos="4331"/>
              </w:tabs>
              <w:ind w:right="652"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B0966" w:rsidRPr="00BD4EAF" w:rsidRDefault="00EB0966" w:rsidP="00EB0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БИК: 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БИК: _____________________________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ИНН:_________________________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КПП: 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КПП: _____________________________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ОКПО 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ОКТМО 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BD4EAF" w:rsidRDefault="00EB0966" w:rsidP="00EB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rPr>
          <w:szCs w:val="24"/>
        </w:rPr>
      </w:pPr>
      <w:r w:rsidRPr="00BD4EAF">
        <w:rPr>
          <w:szCs w:val="24"/>
        </w:rPr>
        <w:br w:type="page"/>
      </w:r>
    </w:p>
    <w:p w:rsidR="00EB0966" w:rsidRPr="00D1480E" w:rsidRDefault="00EB0966" w:rsidP="00EB096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80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B0966" w:rsidRPr="00D1480E" w:rsidRDefault="00EB0966" w:rsidP="00EB09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B0966" w:rsidRPr="00D1480E" w:rsidRDefault="00EB0966" w:rsidP="00EB09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EED">
        <w:rPr>
          <w:rFonts w:ascii="Times New Roman" w:hAnsi="Times New Roman" w:cs="Times New Roman"/>
          <w:sz w:val="24"/>
          <w:szCs w:val="24"/>
        </w:rPr>
        <w:t>от  "__" _________ 20__ г. №___</w:t>
      </w:r>
    </w:p>
    <w:p w:rsidR="00EB0966" w:rsidRPr="00D1480E" w:rsidRDefault="00EB0966" w:rsidP="00EB09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D1480E">
        <w:rPr>
          <w:rFonts w:ascii="Times New Roman" w:hAnsi="Times New Roman" w:cs="Times New Roman"/>
          <w:sz w:val="24"/>
          <w:szCs w:val="24"/>
        </w:rPr>
        <w:t xml:space="preserve"> с целью возмещения затрат Уполномоченной организации, возникающих при реализации мероприятий проекта по обеспечению развития системы дополнительного образования детей посредством внедрения механизма персонифицированного финансирования в ___________, в __________ месяце 20__ года субсидию в размере __________ рублей 00 коп. За счет средств указанной субсидии будут возмещены следующие затраты Уполномоченной организацией: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на возмещение затрат поставщикам образовательных услуг, оказанных в рамках договоров об образовании, представленных в приложении 1 к настоящей заявке, в объеме __________ рублей 00 коп.</w:t>
      </w:r>
    </w:p>
    <w:p w:rsidR="00EB0966" w:rsidRPr="00D1480E" w:rsidRDefault="00EB0966" w:rsidP="00EB0966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затраты, связанные с организацией функционирования Уполномоченной организации, в объеме __________ рублей 00 коп.</w:t>
      </w: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201__ года договоров об образовании детей - участников системы персонифицированного финансирования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506"/>
      </w:tblGrid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образовании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образовании</w:t>
            </w:r>
          </w:p>
        </w:tc>
      </w:tr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66" w:rsidRPr="00D1480E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B0966" w:rsidRPr="00D1480E" w:rsidTr="00EB0966">
        <w:tc>
          <w:tcPr>
            <w:tcW w:w="9587" w:type="dxa"/>
            <w:gridSpan w:val="2"/>
          </w:tcPr>
          <w:p w:rsidR="00EB0966" w:rsidRPr="00D1480E" w:rsidRDefault="00EB0966" w:rsidP="00EB096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организации</w:t>
            </w:r>
          </w:p>
          <w:p w:rsidR="00EB0966" w:rsidRPr="00D1480E" w:rsidRDefault="00EB0966" w:rsidP="00EB096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D1480E" w:rsidTr="00EB0966">
        <w:tc>
          <w:tcPr>
            <w:tcW w:w="4825" w:type="dxa"/>
          </w:tcPr>
          <w:p w:rsidR="00EB0966" w:rsidRPr="00D1480E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B0966" w:rsidRPr="00D1480E" w:rsidTr="00EB0966">
        <w:trPr>
          <w:trHeight w:val="23"/>
        </w:trPr>
        <w:tc>
          <w:tcPr>
            <w:tcW w:w="4825" w:type="dxa"/>
          </w:tcPr>
          <w:p w:rsidR="00EB0966" w:rsidRPr="00D1480E" w:rsidRDefault="00EB0966" w:rsidP="00EB09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D1480E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B0966" w:rsidRPr="00D1480E" w:rsidRDefault="00EB0966" w:rsidP="00EB09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D1480E" w:rsidRDefault="00EB0966" w:rsidP="00EB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66" w:rsidRPr="00D1480E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80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B0966" w:rsidRPr="00D1480E" w:rsidRDefault="00EB0966" w:rsidP="00EB0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B0966" w:rsidRPr="00D1480E" w:rsidRDefault="00EB0966" w:rsidP="00EB0966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F3EED">
        <w:rPr>
          <w:rFonts w:ascii="Times New Roman" w:hAnsi="Times New Roman" w:cs="Times New Roman"/>
          <w:sz w:val="24"/>
          <w:szCs w:val="24"/>
        </w:rPr>
        <w:t>от "__" _________ 20__ г. № ___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 xml:space="preserve">ОТЧЕТ 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о расходовании субсидии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(наименование социально ориентированной некоммерческой организации)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 xml:space="preserve">за </w:t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  <w:t>месяц 20</w:t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  <w:t>года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Overlap w:val="never"/>
        <w:tblW w:w="5534" w:type="pct"/>
        <w:tblInd w:w="-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1734"/>
        <w:gridCol w:w="1480"/>
        <w:gridCol w:w="1492"/>
        <w:gridCol w:w="1283"/>
        <w:gridCol w:w="1942"/>
        <w:gridCol w:w="1795"/>
        <w:gridCol w:w="1254"/>
      </w:tblGrid>
      <w:tr w:rsidR="00EB0966" w:rsidRPr="00D1480E" w:rsidTr="00EB0966">
        <w:trPr>
          <w:trHeight w:val="260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№ п/п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Сумма предоставленной субсидии на момент представления отчета об использовании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Наименование фактически понесенных расходов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Сумма фактически понесенных расходов(руб.)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Дата направления средств на покрытие расходов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Примечание</w:t>
            </w:r>
          </w:p>
        </w:tc>
      </w:tr>
      <w:tr w:rsidR="00EB0966" w:rsidRPr="00D1480E" w:rsidTr="00EB0966">
        <w:trPr>
          <w:trHeight w:val="2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6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6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8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ind w:firstLine="360"/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88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  <w:r w:rsidRPr="00D1480E">
              <w:rPr>
                <w:rStyle w:val="210pt"/>
                <w:szCs w:val="24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</w:tbl>
    <w:p w:rsidR="00EB0966" w:rsidRPr="00D1480E" w:rsidRDefault="00EB0966" w:rsidP="00EB0966">
      <w:pPr>
        <w:tabs>
          <w:tab w:val="left" w:leader="underscore" w:pos="1834"/>
        </w:tabs>
        <w:ind w:firstLine="360"/>
        <w:rPr>
          <w:color w:val="000000"/>
          <w:szCs w:val="24"/>
          <w:lang w:bidi="ru-RU"/>
        </w:rPr>
      </w:pPr>
    </w:p>
    <w:p w:rsidR="00EB0966" w:rsidRPr="00D1480E" w:rsidRDefault="00EB0966" w:rsidP="00EB0966">
      <w:pPr>
        <w:tabs>
          <w:tab w:val="left" w:leader="underscore" w:pos="1834"/>
        </w:tabs>
        <w:ind w:firstLine="360"/>
        <w:rPr>
          <w:szCs w:val="24"/>
        </w:rPr>
      </w:pPr>
      <w:r w:rsidRPr="00D1480E">
        <w:rPr>
          <w:color w:val="000000"/>
          <w:szCs w:val="24"/>
          <w:lang w:bidi="ru-RU"/>
        </w:rPr>
        <w:t>Руководитель __________________</w:t>
      </w:r>
    </w:p>
    <w:p w:rsidR="00EB0966" w:rsidRPr="00D1480E" w:rsidRDefault="00EB0966" w:rsidP="00EB0966">
      <w:pPr>
        <w:ind w:firstLine="360"/>
        <w:rPr>
          <w:szCs w:val="24"/>
        </w:rPr>
      </w:pPr>
      <w:r w:rsidRPr="00D1480E">
        <w:rPr>
          <w:color w:val="000000"/>
          <w:szCs w:val="24"/>
          <w:lang w:bidi="ru-RU"/>
        </w:rPr>
        <w:t>Главный бухгалтер ______________</w:t>
      </w:r>
    </w:p>
    <w:p w:rsidR="00EB0966" w:rsidRPr="00D1480E" w:rsidRDefault="00EB0966" w:rsidP="00EB0966">
      <w:pPr>
        <w:ind w:firstLine="360"/>
        <w:rPr>
          <w:szCs w:val="24"/>
        </w:rPr>
      </w:pPr>
      <w:r w:rsidRPr="00D1480E">
        <w:rPr>
          <w:color w:val="000000"/>
          <w:szCs w:val="24"/>
          <w:lang w:bidi="ru-RU"/>
        </w:rPr>
        <w:t>М.П.</w:t>
      </w:r>
    </w:p>
    <w:p w:rsidR="00EB0966" w:rsidRPr="004256C3" w:rsidRDefault="00EB0966" w:rsidP="00EB0966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Pr="004256C3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</w:p>
    <w:p w:rsidR="00EB0966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EB0966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074A2F"/>
    <w:multiLevelType w:val="hybridMultilevel"/>
    <w:tmpl w:val="D876B70E"/>
    <w:lvl w:ilvl="0" w:tplc="B84C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3"/>
  </w:num>
  <w:num w:numId="7">
    <w:abstractNumId w:val="23"/>
  </w:num>
  <w:num w:numId="8">
    <w:abstractNumId w:val="1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9"/>
  </w:num>
  <w:num w:numId="21">
    <w:abstractNumId w:val="20"/>
  </w:num>
  <w:num w:numId="22">
    <w:abstractNumId w:val="6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4519F"/>
    <w:rsid w:val="0025363B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A518C"/>
    <w:rsid w:val="004D0EF2"/>
    <w:rsid w:val="004D311A"/>
    <w:rsid w:val="004E6D4B"/>
    <w:rsid w:val="005023E4"/>
    <w:rsid w:val="005246BD"/>
    <w:rsid w:val="00531B92"/>
    <w:rsid w:val="00557DF2"/>
    <w:rsid w:val="005779A8"/>
    <w:rsid w:val="0058197A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77F88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45A4"/>
    <w:rsid w:val="00AB667C"/>
    <w:rsid w:val="00AC3AEA"/>
    <w:rsid w:val="00AF28FD"/>
    <w:rsid w:val="00B53CA7"/>
    <w:rsid w:val="00B560A0"/>
    <w:rsid w:val="00B645EC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7AFF"/>
    <w:rsid w:val="00D65677"/>
    <w:rsid w:val="00DC5785"/>
    <w:rsid w:val="00E73000"/>
    <w:rsid w:val="00E773D8"/>
    <w:rsid w:val="00E87445"/>
    <w:rsid w:val="00EA02F5"/>
    <w:rsid w:val="00EB0966"/>
    <w:rsid w:val="00EB5136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25A9E"/>
  <w15:docId w15:val="{4E4A6843-43C0-4F9A-A307-8DEFC00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36"/>
    <w:rPr>
      <w:sz w:val="24"/>
    </w:rPr>
  </w:style>
  <w:style w:type="paragraph" w:styleId="1">
    <w:name w:val="heading 1"/>
    <w:basedOn w:val="a"/>
    <w:next w:val="a"/>
    <w:qFormat/>
    <w:rsid w:val="00EB5136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EB5136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EB5136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EB5136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EB5136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B513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51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B51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B513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136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EB5136"/>
    <w:pPr>
      <w:ind w:firstLine="851"/>
      <w:jc w:val="both"/>
    </w:pPr>
    <w:rPr>
      <w:sz w:val="26"/>
    </w:rPr>
  </w:style>
  <w:style w:type="paragraph" w:styleId="a4">
    <w:name w:val="Body Text"/>
    <w:basedOn w:val="a"/>
    <w:rsid w:val="00EB5136"/>
    <w:rPr>
      <w:sz w:val="28"/>
    </w:rPr>
  </w:style>
  <w:style w:type="paragraph" w:styleId="21">
    <w:name w:val="Body Text 2"/>
    <w:basedOn w:val="a"/>
    <w:rsid w:val="00EB5136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Title">
    <w:name w:val="ConsPlusTitle"/>
    <w:uiPriority w:val="99"/>
    <w:rsid w:val="00EB0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EB0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B0966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B09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09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pt">
    <w:name w:val="Основной текст (2) + 10 pt;Полужирный"/>
    <w:basedOn w:val="a0"/>
    <w:rsid w:val="00EB0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Алёна Викторовна</cp:lastModifiedBy>
  <cp:revision>3</cp:revision>
  <cp:lastPrinted>2018-04-10T11:06:00Z</cp:lastPrinted>
  <dcterms:created xsi:type="dcterms:W3CDTF">2021-02-08T13:41:00Z</dcterms:created>
  <dcterms:modified xsi:type="dcterms:W3CDTF">2021-02-08T13:41:00Z</dcterms:modified>
</cp:coreProperties>
</file>